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B9" w:rsidRPr="0096580C" w:rsidRDefault="0096580C" w:rsidP="0096580C">
      <w:pPr>
        <w:jc w:val="center"/>
        <w:rPr>
          <w:b/>
        </w:rPr>
      </w:pPr>
      <w:r w:rsidRPr="0096580C">
        <w:rPr>
          <w:b/>
        </w:rPr>
        <w:t>Vizuális kultúra</w:t>
      </w:r>
    </w:p>
    <w:p w:rsidR="0096580C" w:rsidRPr="0096580C" w:rsidRDefault="0096580C">
      <w:pPr>
        <w:rPr>
          <w:b/>
        </w:rPr>
      </w:pPr>
      <w:r w:rsidRPr="0096580C">
        <w:rPr>
          <w:b/>
        </w:rPr>
        <w:t>7. évfolyam</w:t>
      </w:r>
    </w:p>
    <w:p w:rsidR="0096580C" w:rsidRDefault="0096580C"/>
    <w:tbl>
      <w:tblPr>
        <w:tblW w:w="13412" w:type="dxa"/>
        <w:tblInd w:w="934" w:type="dxa"/>
        <w:tblLayout w:type="fixed"/>
        <w:tblLook w:val="0000"/>
      </w:tblPr>
      <w:tblGrid>
        <w:gridCol w:w="1177"/>
        <w:gridCol w:w="4918"/>
        <w:gridCol w:w="7317"/>
      </w:tblGrid>
      <w:tr w:rsidR="0096580C" w:rsidTr="0096580C">
        <w:trPr>
          <w:gridAfter w:val="1"/>
          <w:wAfter w:w="7317" w:type="dxa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Témakör sorszáma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Témakör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Kifejezés, képzőművészet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Érzelmek, hangulatok kifejezése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művészi közlés, mű és jelentése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Pr="00B06407" w:rsidRDefault="0096580C" w:rsidP="00511262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96580C" w:rsidRDefault="0096580C" w:rsidP="00511262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96580C" w:rsidRPr="0096580C" w:rsidRDefault="00B157B9" w:rsidP="0096580C">
            <w:pPr>
              <w:rPr>
                <w:lang w:eastAsia="zh-CN"/>
              </w:rPr>
            </w:pPr>
            <w:r>
              <w:rPr>
                <w:rFonts w:cs="Times New Roman"/>
              </w:rPr>
              <w:t>Megjelenítés, vizuális átírás, stilizálás, kiemelés, kompozíció, színritmus, vonalritmus, formaritmus, felületek (textúra, faktúra)</w:t>
            </w:r>
          </w:p>
        </w:tc>
        <w:tc>
          <w:tcPr>
            <w:tcW w:w="7317" w:type="dxa"/>
          </w:tcPr>
          <w:p w:rsidR="0096580C" w:rsidRDefault="0096580C" w:rsidP="00511262">
            <w:pPr>
              <w:spacing w:before="120"/>
            </w:pP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Vizuális kommunikáció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Magyarázó képek/rajzok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Mozgóképi közlés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 xml:space="preserve">Montázs 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Vizuális kommunikációs formák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Pr="00B06407" w:rsidRDefault="0096580C" w:rsidP="0096580C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96580C" w:rsidRDefault="0096580C" w:rsidP="0096580C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96580C" w:rsidRDefault="00B157B9" w:rsidP="00B157B9">
            <w:pPr>
              <w:rPr>
                <w:rFonts w:cs="Times New Roman"/>
              </w:rPr>
            </w:pPr>
            <w:r>
              <w:rPr>
                <w:rFonts w:cs="Times New Roman"/>
              </w:rPr>
              <w:t>Montázs és gondolkodás, montázselv, tér-idő szervezés, (mozgóképi szerkesztés/montázs)</w:t>
            </w:r>
          </w:p>
          <w:p w:rsidR="00B157B9" w:rsidRDefault="00B157B9" w:rsidP="00B157B9">
            <w:pPr>
              <w:rPr>
                <w:rFonts w:cs="Times New Roman"/>
                <w:iCs/>
              </w:rPr>
            </w:pPr>
            <w:r>
              <w:rPr>
                <w:rFonts w:cs="Times New Roman"/>
              </w:rPr>
              <w:t>A kép „működése”, állókép és mozgókép különbözősége, televízió, internet, gesztusnyelv, közlekedési tábla, térkép, plakát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Mozgóképkultúra és médiaismeret</w:t>
            </w:r>
            <w:r>
              <w:rPr>
                <w:rFonts w:cs="Times New Roman"/>
                <w:b/>
                <w:bCs/>
                <w:iCs/>
                <w:u w:val="single"/>
              </w:rPr>
              <w:br/>
            </w:r>
            <w:r>
              <w:rPr>
                <w:rFonts w:cs="Times New Roman"/>
                <w:b/>
                <w:lang w:eastAsia="hu-HU"/>
              </w:rPr>
              <w:t>A média kifejezőeszközei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Reprodukálás és ábrázolás – a mozgókép kettős természete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kiemelés (hangsúlyozás) alapeszközei a mozgóképi ábrázolásban, az írott és az online sajtóban</w:t>
            </w:r>
          </w:p>
        </w:tc>
      </w:tr>
      <w:tr w:rsidR="0096580C" w:rsidTr="0096580C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montázs szerepe és alapformái a mozgóképi ábrázolásban</w:t>
            </w:r>
          </w:p>
        </w:tc>
      </w:tr>
      <w:tr w:rsidR="00B157B9" w:rsidTr="00B157B9">
        <w:trPr>
          <w:gridAfter w:val="1"/>
          <w:wAfter w:w="7317" w:type="dxa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B157B9" w:rsidP="00511262">
            <w:pPr>
              <w:rPr>
                <w:rFonts w:cs="Times New Roman"/>
                <w:iCs/>
              </w:rPr>
            </w:pPr>
            <w:r>
              <w:rPr>
                <w:rFonts w:cs="Times New Roman"/>
              </w:rPr>
              <w:t>Dokumentum, fikció, reprodukció, ábrázolás, valóság</w:t>
            </w:r>
          </w:p>
          <w:p w:rsidR="00B157B9" w:rsidRDefault="00B157B9" w:rsidP="00511262">
            <w:pPr>
              <w:rPr>
                <w:rFonts w:cs="Times New Roman"/>
                <w:iCs/>
              </w:rPr>
            </w:pPr>
            <w:r>
              <w:rPr>
                <w:rFonts w:cs="Times New Roman"/>
                <w:bCs/>
              </w:rPr>
              <w:t>Ismétlés, közelkép, képkivágás, tempó, címrend, illusztráció, képaláírás</w:t>
            </w:r>
          </w:p>
          <w:p w:rsidR="00B157B9" w:rsidRDefault="00B157B9" w:rsidP="00511262">
            <w:pPr>
              <w:rPr>
                <w:rFonts w:cs="Times New Roman"/>
                <w:iCs/>
              </w:rPr>
            </w:pPr>
          </w:p>
        </w:tc>
      </w:tr>
      <w:tr w:rsidR="0096580C" w:rsidTr="00B157B9">
        <w:trPr>
          <w:gridAfter w:val="1"/>
          <w:wAfter w:w="7317" w:type="dxa"/>
        </w:trPr>
        <w:tc>
          <w:tcPr>
            <w:tcW w:w="11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Tárgy- és környezetkultúra</w:t>
            </w:r>
          </w:p>
        </w:tc>
      </w:tr>
      <w:tr w:rsidR="0096580C" w:rsidTr="00B157B9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Tervezett, alakított környezet</w:t>
            </w:r>
          </w:p>
        </w:tc>
      </w:tr>
      <w:tr w:rsidR="0096580C" w:rsidTr="00B157B9">
        <w:trPr>
          <w:gridAfter w:val="1"/>
          <w:wAfter w:w="7317" w:type="dxa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Az épített környezet története</w:t>
            </w:r>
          </w:p>
        </w:tc>
      </w:tr>
      <w:tr w:rsidR="00B157B9" w:rsidTr="00BC34A6">
        <w:trPr>
          <w:gridAfter w:val="1"/>
          <w:wAfter w:w="7317" w:type="dxa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EB9" w:rsidRPr="00B06407" w:rsidRDefault="001D6EB9" w:rsidP="001D6E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B157B9" w:rsidP="00511262">
            <w:pPr>
              <w:spacing w:before="120"/>
            </w:pPr>
            <w:r>
              <w:rPr>
                <w:rFonts w:cs="Times New Roman"/>
              </w:rPr>
              <w:t>Építészeti elem, közösségi és személyes tér, alaprajztípus, osztatlan és osztott (vagy egyszerű és bővített) tér, fő-, oldal-, kereszthajó, apszis, dongaboltozat, keresztboltozat, oszloprend, masztaba, piramis, akropolisz, amfiteátrum, bazilika, palota, kúria,</w:t>
            </w:r>
          </w:p>
        </w:tc>
      </w:tr>
    </w:tbl>
    <w:p w:rsidR="0096580C" w:rsidRDefault="0096580C"/>
    <w:p w:rsidR="001D6EB9" w:rsidRDefault="001D6EB9"/>
    <w:p w:rsidR="0096580C" w:rsidRPr="0096580C" w:rsidRDefault="0096580C">
      <w:pPr>
        <w:rPr>
          <w:b/>
        </w:rPr>
      </w:pPr>
      <w:r w:rsidRPr="0096580C">
        <w:rPr>
          <w:b/>
        </w:rPr>
        <w:lastRenderedPageBreak/>
        <w:t>8. évfolyam</w:t>
      </w:r>
    </w:p>
    <w:p w:rsidR="0096580C" w:rsidRDefault="0096580C"/>
    <w:tbl>
      <w:tblPr>
        <w:tblW w:w="0" w:type="auto"/>
        <w:tblInd w:w="934" w:type="dxa"/>
        <w:tblLayout w:type="fixed"/>
        <w:tblLook w:val="0000"/>
      </w:tblPr>
      <w:tblGrid>
        <w:gridCol w:w="1177"/>
        <w:gridCol w:w="4918"/>
      </w:tblGrid>
      <w:tr w:rsidR="0096580C" w:rsidTr="0096580C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Témakör sorszáma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Témakör</w:t>
            </w:r>
          </w:p>
        </w:tc>
      </w:tr>
      <w:tr w:rsidR="0096580C" w:rsidTr="0096580C"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Kifejezés, képzőművészet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Érzelmek, hangulatok kifejezése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művészi közlés, mű és jelentése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96580C" w:rsidRDefault="001D6EB9" w:rsidP="00511262">
            <w:pPr>
              <w:snapToGrid w:val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</w:rPr>
              <w:t>Megjelenítés, vizuális átírás, stilizálás, felületek (textúra, faktúra), parafrázis, mozgásfázisok, fotókollázs, montázs, vetület, Monge-vetület, horizont, nézőpont, tapasztalati távlattan, perspektíva</w:t>
            </w:r>
          </w:p>
        </w:tc>
      </w:tr>
      <w:tr w:rsidR="0096580C" w:rsidTr="0096580C">
        <w:tc>
          <w:tcPr>
            <w:tcW w:w="11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Vizuális kommunikáció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Magyarázó képek/rajzok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Mozgóképi közlés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 xml:space="preserve">Montázs 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Vizuális kommunikációs formák</w:t>
            </w:r>
          </w:p>
        </w:tc>
      </w:tr>
      <w:tr w:rsidR="00B157B9" w:rsidTr="0096580C"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1D6EB9" w:rsidP="00511262">
            <w:pPr>
              <w:rPr>
                <w:rFonts w:cs="Times New Roman"/>
                <w:iCs/>
              </w:rPr>
            </w:pPr>
            <w:r>
              <w:rPr>
                <w:rFonts w:cs="Times New Roman"/>
              </w:rPr>
              <w:t>A kép „működése”, állókép és mozgókép különbözősége, közvetlen és közvetett kommunikáció, tömegkommunikáció, távközlés, televízió, internet, gesztusnyelv, közlekedési tábla, térkép, plakát, képes forgatókönyv, fotográfia, mozgókép, (techno) médium.</w:t>
            </w:r>
          </w:p>
        </w:tc>
      </w:tr>
      <w:tr w:rsidR="0096580C" w:rsidTr="0096580C"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Mozgóképkultúra és médiaismeret</w:t>
            </w:r>
            <w:r>
              <w:rPr>
                <w:rFonts w:cs="Times New Roman"/>
                <w:b/>
                <w:bCs/>
                <w:iCs/>
                <w:u w:val="single"/>
              </w:rPr>
              <w:br/>
            </w:r>
            <w:r>
              <w:rPr>
                <w:rFonts w:cs="Times New Roman"/>
                <w:b/>
                <w:lang w:eastAsia="hu-HU"/>
              </w:rPr>
              <w:t>A média kifejezőeszközei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Reprodukálás és ábrázolás – a mozgókép kettős természete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kiemelés (hangsúlyozás) alapeszközei a mozgóképi ábrázolásban, az írott és az online sajtóban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  <w:iCs/>
              </w:rPr>
              <w:t>A montázs szerepe és alapformái a mozgóképi ábrázolásban</w:t>
            </w:r>
          </w:p>
        </w:tc>
      </w:tr>
      <w:tr w:rsidR="00B157B9" w:rsidTr="0096580C"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1D6EB9" w:rsidP="00511262">
            <w:pPr>
              <w:rPr>
                <w:rFonts w:cs="Times New Roman"/>
              </w:rPr>
            </w:pPr>
            <w:r>
              <w:rPr>
                <w:rFonts w:cs="Times New Roman"/>
              </w:rPr>
              <w:t>Dokumentum, fikció, reprodukció, ábrázolás, kettős természet, valóság.</w:t>
            </w:r>
          </w:p>
          <w:p w:rsidR="001D6EB9" w:rsidRDefault="001D6EB9" w:rsidP="00511262">
            <w:pPr>
              <w:rPr>
                <w:rFonts w:cs="Times New Roman"/>
                <w:iCs/>
              </w:rPr>
            </w:pPr>
            <w:r>
              <w:rPr>
                <w:rFonts w:cs="Times New Roman"/>
              </w:rPr>
              <w:t>Ismétlés, közelkép, képkivágás, tempó, kameramozgás, címrend, tipográfia, tördelés, illusztráció, képaláírás, link, banner.</w:t>
            </w:r>
          </w:p>
        </w:tc>
      </w:tr>
      <w:tr w:rsidR="0096580C" w:rsidTr="0096580C">
        <w:tc>
          <w:tcPr>
            <w:tcW w:w="11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pacing w:after="200"/>
              <w:jc w:val="center"/>
              <w:rPr>
                <w:rFonts w:cs="Times New Roman"/>
                <w:b/>
                <w:bCs/>
                <w:iCs/>
                <w:u w:val="single"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  <w:u w:val="single"/>
              </w:rPr>
              <w:t>Tárgy- és környezetkultúra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Tervezett, alakított környezet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Az épített környezet története</w:t>
            </w:r>
          </w:p>
        </w:tc>
      </w:tr>
      <w:tr w:rsidR="0096580C" w:rsidTr="0096580C"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spacing w:after="200"/>
              <w:jc w:val="center"/>
              <w:rPr>
                <w:rFonts w:cs="Times New Roman"/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B9" w:rsidRPr="00B06407" w:rsidRDefault="001D6EB9" w:rsidP="001D6E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Pr="001D6EB9" w:rsidRDefault="001D6EB9" w:rsidP="001D6EB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Építészeti elem, közösségi és személyes tér, alaprajztípus, használati tárgy, dísztárgy, rituális tárgy, viselet, népi kultúra, néprajzi tájegység, kézművesség, ipari formatervezés, organikus építészeti </w:t>
            </w:r>
            <w:r w:rsidR="00B157B9" w:rsidRPr="001D6EB9">
              <w:rPr>
                <w:rFonts w:cs="Times New Roman"/>
              </w:rPr>
              <w:t>fogalmak</w:t>
            </w:r>
          </w:p>
          <w:p w:rsidR="0096580C" w:rsidRDefault="0096580C" w:rsidP="001D6EB9">
            <w:pPr>
              <w:rPr>
                <w:rFonts w:cs="Times New Roman"/>
              </w:rPr>
            </w:pPr>
          </w:p>
        </w:tc>
      </w:tr>
    </w:tbl>
    <w:p w:rsidR="0096580C" w:rsidRPr="0096580C" w:rsidRDefault="0096580C">
      <w:pPr>
        <w:rPr>
          <w:b/>
        </w:rPr>
      </w:pPr>
      <w:r w:rsidRPr="0096580C">
        <w:rPr>
          <w:b/>
        </w:rPr>
        <w:lastRenderedPageBreak/>
        <w:t>9. évfolyam</w:t>
      </w:r>
    </w:p>
    <w:p w:rsidR="0096580C" w:rsidRDefault="0096580C"/>
    <w:tbl>
      <w:tblPr>
        <w:tblW w:w="0" w:type="auto"/>
        <w:tblInd w:w="934" w:type="dxa"/>
        <w:tblLayout w:type="fixed"/>
        <w:tblLook w:val="0000"/>
      </w:tblPr>
      <w:tblGrid>
        <w:gridCol w:w="1177"/>
        <w:gridCol w:w="4918"/>
      </w:tblGrid>
      <w:tr w:rsidR="0096580C" w:rsidTr="0096580C">
        <w:trPr>
          <w:trHeight w:val="51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</w:rPr>
              <w:t xml:space="preserve">Témakör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</w:rPr>
              <w:t>Témakör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u w:val="single"/>
              </w:rPr>
              <w:t>Kifejezés, képzőművészet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bCs/>
                <w:iCs/>
              </w:rPr>
              <w:t>Érzelmek, hangulatok kifejezése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bCs/>
                <w:iCs/>
              </w:rPr>
              <w:t xml:space="preserve">A művészi közlés; mű és jelentése 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96580C" w:rsidRDefault="001D6EB9" w:rsidP="00511262">
            <w:pPr>
              <w:snapToGrid w:val="0"/>
            </w:pPr>
            <w:r>
              <w:t>Vizuális átírás, redukció, stilizálás, kiemelés, kontraszt, kompozíció, szín-, vonal-, formaritmus</w:t>
            </w:r>
          </w:p>
          <w:p w:rsidR="001D6EB9" w:rsidRDefault="001D6EB9" w:rsidP="001D6EB9">
            <w:pPr>
              <w:snapToGrid w:val="0"/>
              <w:rPr>
                <w:b/>
                <w:bCs/>
                <w:iCs/>
              </w:rPr>
            </w:pPr>
            <w:r>
              <w:t>Látvány- és műelemzés, korszak, korstílus, stílusirányzat, képzőművészeti műfaj, műtípus, kompozíció, képkivágás, kontraszt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</w:rPr>
              <w:t>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u w:val="single"/>
              </w:rPr>
              <w:t>Vizuális kommunikáció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iCs/>
              </w:rPr>
              <w:t>Kép és szöveg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  <w:iCs/>
              </w:rPr>
              <w:t>A tömegkommunikációs eszközök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  <w:iCs/>
              </w:rPr>
              <w:t>Tér-idő kifejezése</w:t>
            </w:r>
          </w:p>
        </w:tc>
      </w:tr>
      <w:tr w:rsidR="00B157B9" w:rsidTr="0096580C">
        <w:trPr>
          <w:trHeight w:val="340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1D6EB9" w:rsidP="00511262">
            <w:r>
              <w:t>Montázs-elv, tipográfia (betűméret és stílus, oldalrendezés, oldalpár, kép és szöveg, borító); kompozíció, színkontraszt, harmónia</w:t>
            </w:r>
          </w:p>
          <w:p w:rsidR="001D6EB9" w:rsidRDefault="001D6EB9" w:rsidP="00511262">
            <w:pPr>
              <w:rPr>
                <w:b/>
                <w:bCs/>
                <w:iCs/>
              </w:rPr>
            </w:pPr>
            <w:r>
              <w:t>Közvetett kommunikáció, média, médium, nyomtatott és elektronikus sajtó, internet, hírközlés, reklám, sztereotípia, célközönség, valószerűség, hitelesség, plakát,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</w:rPr>
              <w:t>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u w:val="single"/>
              </w:rPr>
              <w:t>Tárgy- és környezetkultúra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bCs/>
              </w:rPr>
              <w:t>Tervezett, alakított környezet</w:t>
            </w:r>
          </w:p>
        </w:tc>
      </w:tr>
      <w:tr w:rsidR="0096580C" w:rsidTr="0096580C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</w:rPr>
              <w:t>Funkció</w:t>
            </w:r>
          </w:p>
        </w:tc>
      </w:tr>
      <w:tr w:rsidR="0096580C" w:rsidTr="00B157B9">
        <w:trPr>
          <w:trHeight w:val="340"/>
        </w:trPr>
        <w:tc>
          <w:tcPr>
            <w:tcW w:w="11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 xml:space="preserve">Az épített környezet története </w:t>
            </w:r>
          </w:p>
        </w:tc>
      </w:tr>
      <w:tr w:rsidR="00B157B9" w:rsidTr="0096580C">
        <w:trPr>
          <w:trHeight w:val="340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7B9" w:rsidRDefault="00B157B9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9" w:rsidRPr="00B0640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</w:p>
          <w:p w:rsidR="00B157B9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B157B9" w:rsidRDefault="004D29B7" w:rsidP="00511262">
            <w:pPr>
              <w:snapToGrid w:val="0"/>
              <w:rPr>
                <w:b/>
                <w:bCs/>
              </w:rPr>
            </w:pPr>
            <w:r>
              <w:t>Tervezés, felmérés, térelrendezés, műszaki ábrázolás, környezettudatos magatartás, környezetvédelem</w:t>
            </w:r>
          </w:p>
          <w:p w:rsidR="001D6EB9" w:rsidRDefault="004D29B7" w:rsidP="00511262">
            <w:pPr>
              <w:snapToGrid w:val="0"/>
              <w:rPr>
                <w:b/>
                <w:bCs/>
              </w:rPr>
            </w:pPr>
            <w:r>
              <w:t>Funkció, funkcionalizmus, díszlet, makett, modell.</w:t>
            </w:r>
          </w:p>
        </w:tc>
      </w:tr>
    </w:tbl>
    <w:p w:rsidR="0096580C" w:rsidRDefault="0096580C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177490" w:rsidRDefault="00177490"/>
    <w:p w:rsidR="0096580C" w:rsidRDefault="0096580C">
      <w:pPr>
        <w:rPr>
          <w:b/>
        </w:rPr>
      </w:pPr>
      <w:r w:rsidRPr="0096580C">
        <w:rPr>
          <w:b/>
        </w:rPr>
        <w:lastRenderedPageBreak/>
        <w:t>10. évfolyam</w:t>
      </w:r>
    </w:p>
    <w:p w:rsidR="00177490" w:rsidRDefault="00177490">
      <w:pPr>
        <w:rPr>
          <w:b/>
        </w:rPr>
      </w:pPr>
    </w:p>
    <w:p w:rsidR="0096580C" w:rsidRDefault="0096580C">
      <w:pPr>
        <w:rPr>
          <w:b/>
        </w:rPr>
      </w:pPr>
    </w:p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1"/>
        <w:gridCol w:w="5953"/>
      </w:tblGrid>
      <w:tr w:rsidR="0096580C" w:rsidTr="0048584F">
        <w:trPr>
          <w:trHeight w:hRule="exact" w:val="340"/>
        </w:trPr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80C" w:rsidRDefault="0096580C" w:rsidP="0048584F">
            <w:pPr>
              <w:jc w:val="center"/>
              <w:rPr>
                <w:b/>
              </w:rPr>
            </w:pPr>
            <w:r>
              <w:rPr>
                <w:b/>
              </w:rPr>
              <w:t xml:space="preserve">Témakör </w:t>
            </w:r>
            <w:r w:rsidR="0048584F">
              <w:rPr>
                <w:b/>
              </w:rPr>
              <w:t>sorszáma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</w:rPr>
              <w:t>Témakör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:rsidR="0096580C" w:rsidRPr="004D29B7" w:rsidRDefault="0096580C" w:rsidP="00511262">
            <w:pPr>
              <w:jc w:val="center"/>
              <w:rPr>
                <w:b/>
              </w:rPr>
            </w:pPr>
            <w:r w:rsidRPr="004D29B7">
              <w:rPr>
                <w:b/>
              </w:rPr>
              <w:t>1.</w:t>
            </w: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5953" w:type="dxa"/>
            <w:shd w:val="clear" w:color="auto" w:fill="E6E6E6"/>
            <w:vAlign w:val="center"/>
          </w:tcPr>
          <w:p w:rsidR="0096580C" w:rsidRPr="004D29B7" w:rsidRDefault="0096580C" w:rsidP="00511262">
            <w:pPr>
              <w:jc w:val="center"/>
              <w:rPr>
                <w:b/>
              </w:rPr>
            </w:pPr>
            <w:r w:rsidRPr="004D29B7">
              <w:rPr>
                <w:b/>
                <w:bCs/>
                <w:iCs/>
                <w:u w:val="single"/>
              </w:rPr>
              <w:t>Kifejezés, képzőművészet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shd w:val="clear" w:color="auto" w:fill="auto"/>
            <w:vAlign w:val="center"/>
          </w:tcPr>
          <w:p w:rsidR="0096580C" w:rsidRPr="004D29B7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80C" w:rsidRPr="004D29B7" w:rsidRDefault="0096580C" w:rsidP="00511262">
            <w:pPr>
              <w:tabs>
                <w:tab w:val="left" w:pos="720"/>
              </w:tabs>
              <w:rPr>
                <w:b/>
              </w:rPr>
            </w:pPr>
            <w:r w:rsidRPr="004D29B7">
              <w:rPr>
                <w:b/>
                <w:bCs/>
                <w:iCs/>
              </w:rPr>
              <w:t>Érzelmek, hangulatok kifejezése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80C" w:rsidRPr="004D29B7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6580C" w:rsidRPr="004D29B7" w:rsidRDefault="0096580C" w:rsidP="00511262">
            <w:pPr>
              <w:tabs>
                <w:tab w:val="left" w:pos="720"/>
              </w:tabs>
              <w:rPr>
                <w:b/>
              </w:rPr>
            </w:pPr>
            <w:r w:rsidRPr="004D29B7">
              <w:rPr>
                <w:b/>
                <w:bCs/>
                <w:iCs/>
              </w:rPr>
              <w:t xml:space="preserve">A művészi közlés; mű és jelentése 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80C" w:rsidRPr="004D29B7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EB9" w:rsidRPr="004D29B7" w:rsidRDefault="00B157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29B7"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</w:t>
            </w:r>
            <w:r w:rsidR="001D6EB9" w:rsidRPr="004D29B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fogalmak</w:t>
            </w:r>
          </w:p>
          <w:p w:rsidR="004D29B7" w:rsidRPr="004D29B7" w:rsidRDefault="004D29B7" w:rsidP="004D29B7">
            <w:pPr>
              <w:rPr>
                <w:rFonts w:eastAsia="Calibri" w:cs="Times New Roman"/>
                <w:b/>
                <w:bCs/>
                <w:iCs/>
                <w:szCs w:val="24"/>
                <w:lang w:eastAsia="zh-CN"/>
              </w:rPr>
            </w:pPr>
          </w:p>
          <w:p w:rsidR="004D29B7" w:rsidRPr="004D29B7" w:rsidRDefault="004D29B7" w:rsidP="004D29B7">
            <w:pPr>
              <w:rPr>
                <w:rFonts w:eastAsia="Calibri" w:cs="Times New Roman"/>
                <w:b/>
                <w:bCs/>
                <w:iCs/>
                <w:szCs w:val="24"/>
                <w:lang w:eastAsia="zh-CN"/>
              </w:rPr>
            </w:pPr>
          </w:p>
          <w:p w:rsidR="004D29B7" w:rsidRPr="004D29B7" w:rsidRDefault="004D29B7" w:rsidP="004D29B7">
            <w:pPr>
              <w:rPr>
                <w:rFonts w:eastAsia="Calibri" w:cs="Times New Roman"/>
                <w:b/>
                <w:bCs/>
                <w:iCs/>
                <w:szCs w:val="24"/>
                <w:lang w:eastAsia="zh-CN"/>
              </w:rPr>
            </w:pPr>
          </w:p>
          <w:p w:rsidR="004D29B7" w:rsidRPr="004D29B7" w:rsidRDefault="004D29B7" w:rsidP="004D29B7">
            <w:pPr>
              <w:rPr>
                <w:rFonts w:eastAsia="Calibri" w:cs="Times New Roman"/>
                <w:b/>
                <w:bCs/>
                <w:iCs/>
                <w:szCs w:val="24"/>
                <w:lang w:eastAsia="zh-CN"/>
              </w:rPr>
            </w:pPr>
          </w:p>
          <w:p w:rsidR="001D6EB9" w:rsidRPr="004D29B7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D6EB9" w:rsidRPr="004D29B7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29B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fogalmak</w:t>
            </w:r>
          </w:p>
          <w:p w:rsidR="00B157B9" w:rsidRPr="004D29B7" w:rsidRDefault="00B157B9" w:rsidP="00B157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157B9" w:rsidRPr="004D29B7" w:rsidRDefault="00B157B9" w:rsidP="00B157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29B7"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96580C" w:rsidRPr="004D29B7" w:rsidRDefault="0096580C" w:rsidP="00511262">
            <w:pPr>
              <w:snapToGrid w:val="0"/>
              <w:rPr>
                <w:rFonts w:eastAsia="Calibri" w:cs="Times New Roman"/>
                <w:b/>
                <w:bCs/>
                <w:iCs/>
                <w:szCs w:val="24"/>
                <w:lang w:eastAsia="zh-CN"/>
              </w:rPr>
            </w:pPr>
          </w:p>
        </w:tc>
      </w:tr>
      <w:tr w:rsidR="004D29B7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511262">
            <w:pPr>
              <w:snapToGrid w:val="0"/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snapToGrid w:val="0"/>
              <w:jc w:val="center"/>
              <w:rPr>
                <w:b/>
              </w:rPr>
            </w:pPr>
          </w:p>
          <w:p w:rsidR="004D29B7" w:rsidRPr="004D29B7" w:rsidRDefault="004D29B7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D31FA0">
            <w:pPr>
              <w:snapToGrid w:val="0"/>
              <w:rPr>
                <w:rFonts w:cs="Times New Roman"/>
                <w:i/>
                <w:szCs w:val="24"/>
              </w:rPr>
            </w:pPr>
            <w:r w:rsidRPr="004D29B7">
              <w:t>Nonfiguratív megjelenítés, vizuális átírás, absztrakció, komplementer, színreflex,</w:t>
            </w:r>
            <w:r w:rsidRPr="004D29B7">
              <w:rPr>
                <w:rFonts w:cs="Times New Roman"/>
                <w:i/>
                <w:szCs w:val="24"/>
              </w:rPr>
              <w:t xml:space="preserve"> kompozíció, konstruktív képépítés, automatikus írás.</w:t>
            </w:r>
          </w:p>
        </w:tc>
      </w:tr>
      <w:tr w:rsidR="004D29B7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511262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4D29B7">
            <w:pPr>
              <w:snapToGrid w:val="0"/>
            </w:pPr>
            <w:r>
              <w:t>Avantgard irányzatok, kortárs képzőművészet, képi és optikai helyzetviszonylat, digitális képfeldolgozás, intermediális műfaj, eseményművészet</w:t>
            </w:r>
          </w:p>
        </w:tc>
      </w:tr>
      <w:tr w:rsidR="004D29B7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511262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B7" w:rsidRPr="004D29B7" w:rsidRDefault="004D29B7" w:rsidP="004D29B7">
            <w:pPr>
              <w:snapToGrid w:val="0"/>
            </w:pPr>
            <w:r>
              <w:t>Montázs-elv, tipográfia (betűméret és stílus), kompozíció (oldalrendezés, oldalpár, kép és szöveg, borító); intermédia, művészkönyv/art-book, műsorrend.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u w:val="single"/>
              </w:rPr>
              <w:t>Vizuális kommunikáció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iCs/>
              </w:rPr>
              <w:t>Kép és szöveg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  <w:iCs/>
              </w:rPr>
              <w:t>A tömegkommunikációs eszközök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  <w:iCs/>
              </w:rPr>
              <w:t>Tér-idő kifejezése</w:t>
            </w:r>
          </w:p>
        </w:tc>
      </w:tr>
      <w:tr w:rsidR="001D6EB9" w:rsidTr="0048584F">
        <w:trPr>
          <w:trHeight w:hRule="exact"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EB9" w:rsidRDefault="001D6EB9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 fogalmak</w:t>
            </w:r>
          </w:p>
          <w:p w:rsidR="004D29B7" w:rsidRPr="004D29B7" w:rsidRDefault="004D29B7" w:rsidP="004D29B7">
            <w:pPr>
              <w:rPr>
                <w:lang w:eastAsia="zh-CN"/>
              </w:rPr>
            </w:pPr>
          </w:p>
          <w:p w:rsidR="001D6EB9" w:rsidRPr="00B06407" w:rsidRDefault="001D6EB9" w:rsidP="001D6E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1D6EB9" w:rsidRDefault="001D6EB9" w:rsidP="00511262">
            <w:pPr>
              <w:rPr>
                <w:b/>
                <w:bCs/>
                <w:iCs/>
              </w:rPr>
            </w:pP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177490">
            <w:pPr>
              <w:pStyle w:val="Cmsor5"/>
              <w:widowControl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Pr="00177490" w:rsidRDefault="00177490" w:rsidP="00177490">
            <w:pPr>
              <w:snapToGrid w:val="0"/>
            </w:pPr>
            <w:r w:rsidRPr="00177490">
              <w:t>Montázs-elv, tipográfia (betűméret és stílus</w:t>
            </w:r>
            <w:r>
              <w:t>), kompozíció (oldalrendezés, oldalpár, kép és szöveg, borító); intermédia, művészkönyv/art-book, műsorrend</w:t>
            </w: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490">
              <w:rPr>
                <w:rFonts w:ascii="Times New Roman" w:eastAsiaTheme="minorHAnsi" w:hAnsi="Times New Roman" w:cstheme="minorHAnsi"/>
                <w:b w:val="0"/>
                <w:bCs w:val="0"/>
                <w:i w:val="0"/>
                <w:iCs w:val="0"/>
                <w:sz w:val="24"/>
                <w:szCs w:val="22"/>
                <w:lang w:eastAsia="en-US"/>
              </w:rPr>
              <w:t xml:space="preserve">Story-board, forgatókönyv, beállítás, jelenet, </w:t>
            </w:r>
            <w:r w:rsidRPr="0048584F">
              <w:rPr>
                <w:rFonts w:ascii="Times New Roman" w:eastAsiaTheme="minorHAnsi" w:hAnsi="Times New Roman" w:cstheme="minorHAnsi"/>
                <w:b w:val="0"/>
                <w:bCs w:val="0"/>
                <w:i w:val="0"/>
                <w:iCs w:val="0"/>
                <w:sz w:val="24"/>
                <w:szCs w:val="22"/>
                <w:lang w:eastAsia="en-US"/>
              </w:rPr>
              <w:t>a</w:t>
            </w:r>
            <w:r w:rsidRPr="0048584F">
              <w:rPr>
                <w:rFonts w:ascii="Times New Roman" w:hAnsi="Times New Roman"/>
                <w:i w:val="0"/>
                <w:sz w:val="24"/>
              </w:rPr>
              <w:t>montázs</w:t>
            </w:r>
            <w:r>
              <w:rPr>
                <w:rFonts w:ascii="Times New Roman" w:hAnsi="Times New Roman"/>
                <w:sz w:val="24"/>
              </w:rPr>
              <w:t>(típusok) jelentősége, a narráció sémái és egyedi megoldásai, képregény, video/performansz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6580C" w:rsidRDefault="0096580C" w:rsidP="005112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u w:val="single"/>
              </w:rPr>
              <w:t>Tárgy- és környezetkultúra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6580C" w:rsidRDefault="0096580C" w:rsidP="0051126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bCs/>
              </w:rPr>
              <w:t>Tervezett, alakított környezet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6580C" w:rsidRDefault="0096580C" w:rsidP="00511262">
            <w:pPr>
              <w:rPr>
                <w:b/>
              </w:rPr>
            </w:pPr>
            <w:r>
              <w:rPr>
                <w:b/>
                <w:bCs/>
              </w:rPr>
              <w:t>Funkció</w:t>
            </w:r>
          </w:p>
        </w:tc>
      </w:tr>
      <w:tr w:rsidR="0096580C" w:rsidTr="0048584F">
        <w:trPr>
          <w:trHeight w:hRule="exact" w:val="340"/>
        </w:trPr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80C" w:rsidRDefault="0096580C" w:rsidP="00511262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 xml:space="preserve">Az épített környezet története </w:t>
            </w:r>
          </w:p>
        </w:tc>
      </w:tr>
      <w:tr w:rsidR="001D6EB9" w:rsidTr="0048584F">
        <w:trPr>
          <w:trHeight w:hRule="exact"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EB9" w:rsidRDefault="001D6EB9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Kulcsfogalmak/ fogalmak</w:t>
            </w:r>
          </w:p>
          <w:p w:rsidR="001D6EB9" w:rsidRPr="00B06407" w:rsidRDefault="001D6EB9" w:rsidP="001D6EB9">
            <w:pPr>
              <w:pStyle w:val="Cmsor5"/>
              <w:spacing w:before="0" w:after="0"/>
              <w:ind w:left="1009" w:hanging="10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EB9" w:rsidRDefault="001D6EB9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fogalmak</w:t>
            </w:r>
          </w:p>
          <w:p w:rsidR="001D6EB9" w:rsidRDefault="001D6EB9" w:rsidP="00511262">
            <w:pPr>
              <w:snapToGrid w:val="0"/>
              <w:rPr>
                <w:b/>
                <w:bCs/>
              </w:rPr>
            </w:pP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490">
              <w:rPr>
                <w:rFonts w:ascii="Times New Roman" w:eastAsiaTheme="minorHAnsi" w:hAnsi="Times New Roman" w:cstheme="minorHAnsi"/>
                <w:b w:val="0"/>
                <w:bCs w:val="0"/>
                <w:i w:val="0"/>
                <w:iCs w:val="0"/>
                <w:sz w:val="24"/>
                <w:szCs w:val="22"/>
                <w:lang w:eastAsia="en-US"/>
              </w:rPr>
              <w:t>Tervezés, design, térelrendezés,</w:t>
            </w:r>
            <w:r>
              <w:rPr>
                <w:rFonts w:ascii="Times New Roman" w:hAnsi="Times New Roman"/>
                <w:sz w:val="24"/>
              </w:rPr>
              <w:t xml:space="preserve"> környezettudatos</w:t>
            </w:r>
            <w:r w:rsidR="00D31FA0">
              <w:rPr>
                <w:rFonts w:ascii="Times New Roman" w:hAnsi="Times New Roman"/>
                <w:sz w:val="24"/>
              </w:rPr>
              <w:t>ság</w:t>
            </w:r>
            <w:r>
              <w:rPr>
                <w:rFonts w:ascii="Times New Roman" w:hAnsi="Times New Roman"/>
                <w:sz w:val="24"/>
              </w:rPr>
              <w:t xml:space="preserve"> magatartás, környezetvédelem</w:t>
            </w: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490">
              <w:rPr>
                <w:rFonts w:ascii="Times New Roman" w:eastAsiaTheme="minorHAnsi" w:hAnsi="Times New Roman" w:cstheme="minorHAnsi"/>
                <w:b w:val="0"/>
                <w:bCs w:val="0"/>
                <w:i w:val="0"/>
                <w:iCs w:val="0"/>
                <w:sz w:val="24"/>
                <w:szCs w:val="22"/>
                <w:lang w:eastAsia="en-US"/>
              </w:rPr>
              <w:t>Alaprajztípus, alátámasztó és áthidaló elem,</w:t>
            </w:r>
            <w:r>
              <w:rPr>
                <w:rFonts w:ascii="Times New Roman" w:hAnsi="Times New Roman"/>
                <w:sz w:val="24"/>
              </w:rPr>
              <w:t xml:space="preserve"> oszloprend, homlokzatosztás, egyházi építészet, palota, lakóház, stíluskeveredés, divat, szubkultúra, design, funkcionalizmus, környezettudatos építés, organikus építészet</w:t>
            </w:r>
          </w:p>
        </w:tc>
      </w:tr>
      <w:tr w:rsidR="00177490" w:rsidTr="0048584F">
        <w:trPr>
          <w:trHeight w:hRule="exact" w:val="34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5112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490" w:rsidRDefault="00177490" w:rsidP="001D6EB9">
            <w:pPr>
              <w:pStyle w:val="Cmsor5"/>
              <w:widowControl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7490">
              <w:rPr>
                <w:rFonts w:ascii="Times New Roman" w:eastAsiaTheme="minorHAnsi" w:hAnsi="Times New Roman" w:cstheme="minorHAnsi"/>
                <w:b w:val="0"/>
                <w:bCs w:val="0"/>
                <w:i w:val="0"/>
                <w:iCs w:val="0"/>
                <w:sz w:val="24"/>
                <w:szCs w:val="22"/>
                <w:lang w:eastAsia="en-US"/>
              </w:rPr>
              <w:t>oszloprend, homlokzatosztás, egyházi építészet</w:t>
            </w:r>
            <w:r>
              <w:rPr>
                <w:rFonts w:ascii="Times New Roman" w:hAnsi="Times New Roman"/>
                <w:sz w:val="24"/>
              </w:rPr>
              <w:t>, palota, lakóház, stíluskeveredés, divat, szubkultúra, design, funkcionalizmus, környezettudatos építés, organikus építészet</w:t>
            </w:r>
          </w:p>
        </w:tc>
      </w:tr>
    </w:tbl>
    <w:p w:rsidR="0096580C" w:rsidRDefault="0096580C">
      <w:pPr>
        <w:rPr>
          <w:b/>
        </w:rPr>
      </w:pPr>
    </w:p>
    <w:p w:rsidR="00177490" w:rsidRDefault="00177490">
      <w:pPr>
        <w:rPr>
          <w:b/>
        </w:rPr>
      </w:pPr>
    </w:p>
    <w:p w:rsidR="00177490" w:rsidRPr="0096580C" w:rsidRDefault="00177490">
      <w:pPr>
        <w:rPr>
          <w:b/>
        </w:rPr>
      </w:pPr>
    </w:p>
    <w:sectPr w:rsidR="00177490" w:rsidRPr="0096580C" w:rsidSect="0096580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580C"/>
    <w:rsid w:val="00087701"/>
    <w:rsid w:val="00177490"/>
    <w:rsid w:val="001D6EB9"/>
    <w:rsid w:val="002B5E30"/>
    <w:rsid w:val="003C677A"/>
    <w:rsid w:val="004547C8"/>
    <w:rsid w:val="0048584F"/>
    <w:rsid w:val="004D29B7"/>
    <w:rsid w:val="00585FE8"/>
    <w:rsid w:val="006F660A"/>
    <w:rsid w:val="007240B9"/>
    <w:rsid w:val="008F37B4"/>
    <w:rsid w:val="0096580C"/>
    <w:rsid w:val="00B157B9"/>
    <w:rsid w:val="00D31FA0"/>
    <w:rsid w:val="00E83CBA"/>
    <w:rsid w:val="00E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7B4"/>
  </w:style>
  <w:style w:type="paragraph" w:styleId="Cmsor5">
    <w:name w:val="heading 5"/>
    <w:basedOn w:val="Norml"/>
    <w:next w:val="Norml"/>
    <w:link w:val="Cmsor5Char"/>
    <w:qFormat/>
    <w:rsid w:val="0096580C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96580C"/>
    <w:rPr>
      <w:rFonts w:ascii="Calibri" w:eastAsia="Calibri" w:hAnsi="Calibri" w:cs="Calibri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Tolna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Sztárai Mihály Gimnázium</dc:creator>
  <cp:lastModifiedBy>Sztárai Mihály Gimnázium</cp:lastModifiedBy>
  <cp:revision>2</cp:revision>
  <dcterms:created xsi:type="dcterms:W3CDTF">2017-04-10T14:26:00Z</dcterms:created>
  <dcterms:modified xsi:type="dcterms:W3CDTF">2017-04-10T14:26:00Z</dcterms:modified>
</cp:coreProperties>
</file>