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B4" w:rsidRPr="00D53010" w:rsidRDefault="00EC46B4" w:rsidP="00EC46B4">
      <w:pPr>
        <w:jc w:val="center"/>
        <w:rPr>
          <w:szCs w:val="24"/>
        </w:rPr>
      </w:pPr>
      <w:r w:rsidRPr="00D53010">
        <w:rPr>
          <w:szCs w:val="24"/>
        </w:rPr>
        <w:t>Irodalom</w:t>
      </w:r>
    </w:p>
    <w:p w:rsidR="00EC46B4" w:rsidRPr="00D53010" w:rsidRDefault="00EC46B4">
      <w:pPr>
        <w:rPr>
          <w:szCs w:val="24"/>
        </w:rPr>
      </w:pPr>
    </w:p>
    <w:p w:rsidR="00F33B48" w:rsidRPr="00D53010" w:rsidRDefault="00F33B48" w:rsidP="004D7E11">
      <w:pPr>
        <w:rPr>
          <w:szCs w:val="24"/>
        </w:rPr>
      </w:pPr>
      <w:r w:rsidRPr="00D53010">
        <w:rPr>
          <w:szCs w:val="24"/>
        </w:rPr>
        <w:t>7. osztály</w:t>
      </w:r>
    </w:p>
    <w:p w:rsidR="002924C5" w:rsidRPr="00D53010" w:rsidRDefault="002924C5">
      <w:pPr>
        <w:rPr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>A romantika és a realizmus formai jegyei, jellemzői</w:t>
            </w:r>
          </w:p>
          <w:p w:rsidR="00EC46B4" w:rsidRPr="00D53010" w:rsidRDefault="00EC46B4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>Mikszáth Kálmán: Szent Péter esernyője</w:t>
            </w:r>
          </w:p>
          <w:p w:rsidR="00EC46B4" w:rsidRPr="00D53010" w:rsidRDefault="00EC46B4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6100B0" w:rsidP="00EC46B4">
            <w:pPr>
              <w:rPr>
                <w:szCs w:val="24"/>
              </w:rPr>
            </w:pPr>
            <w:r>
              <w:rPr>
                <w:szCs w:val="24"/>
              </w:rPr>
              <w:t>Kölcsey Ferenc</w:t>
            </w:r>
          </w:p>
          <w:p w:rsidR="00EC46B4" w:rsidRPr="00D53010" w:rsidRDefault="00EC46B4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6100B0" w:rsidP="00EC46B4">
            <w:pPr>
              <w:rPr>
                <w:szCs w:val="24"/>
              </w:rPr>
            </w:pPr>
            <w:r>
              <w:rPr>
                <w:szCs w:val="24"/>
              </w:rPr>
              <w:t>Vörösmarty Mihály</w:t>
            </w:r>
          </w:p>
          <w:p w:rsidR="00EC46B4" w:rsidRPr="00D53010" w:rsidRDefault="00EC46B4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 xml:space="preserve">Petőfi </w:t>
            </w:r>
            <w:r w:rsidR="006100B0">
              <w:rPr>
                <w:szCs w:val="24"/>
              </w:rPr>
              <w:t>Sándor</w:t>
            </w:r>
          </w:p>
          <w:p w:rsidR="00EC46B4" w:rsidRPr="00D53010" w:rsidRDefault="00EC46B4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 xml:space="preserve">Arany János </w:t>
            </w:r>
          </w:p>
          <w:p w:rsidR="00EC46B4" w:rsidRPr="00D53010" w:rsidRDefault="00EC46B4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>Jókai Mór: A kőszívű ember fiai</w:t>
            </w:r>
          </w:p>
          <w:p w:rsidR="00EC46B4" w:rsidRPr="00D53010" w:rsidRDefault="00EC46B4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proofErr w:type="spellStart"/>
            <w:r w:rsidRPr="00D53010">
              <w:rPr>
                <w:szCs w:val="24"/>
              </w:rPr>
              <w:t>Molière</w:t>
            </w:r>
            <w:proofErr w:type="spellEnd"/>
            <w:r w:rsidRPr="00D53010">
              <w:rPr>
                <w:szCs w:val="24"/>
              </w:rPr>
              <w:t xml:space="preserve"> egy színdarabja</w:t>
            </w:r>
          </w:p>
          <w:p w:rsidR="00EC46B4" w:rsidRPr="00D53010" w:rsidRDefault="00EC46B4">
            <w:pPr>
              <w:rPr>
                <w:szCs w:val="24"/>
              </w:rPr>
            </w:pPr>
          </w:p>
        </w:tc>
      </w:tr>
    </w:tbl>
    <w:p w:rsidR="00F33B48" w:rsidRPr="00D53010" w:rsidRDefault="00F33B48">
      <w:pPr>
        <w:rPr>
          <w:szCs w:val="24"/>
        </w:rPr>
      </w:pPr>
    </w:p>
    <w:p w:rsidR="00F33B48" w:rsidRPr="00D53010" w:rsidRDefault="00F33B48"/>
    <w:p w:rsidR="00F33B48" w:rsidRPr="00D53010" w:rsidRDefault="00F33B48"/>
    <w:p w:rsidR="00F33B48" w:rsidRPr="00D53010" w:rsidRDefault="004D7E11">
      <w:r>
        <w:t xml:space="preserve">8. osztály </w:t>
      </w:r>
    </w:p>
    <w:p w:rsidR="002924C5" w:rsidRPr="00D53010" w:rsidRDefault="002924C5"/>
    <w:tbl>
      <w:tblPr>
        <w:tblStyle w:val="Rcsostblzat"/>
        <w:tblW w:w="0" w:type="auto"/>
        <w:tblLook w:val="04A0"/>
      </w:tblPr>
      <w:tblGrid>
        <w:gridCol w:w="9212"/>
      </w:tblGrid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proofErr w:type="gramStart"/>
            <w:r w:rsidRPr="00D53010">
              <w:t xml:space="preserve">Az  </w:t>
            </w:r>
            <w:r w:rsidRPr="00D53010">
              <w:rPr>
                <w:szCs w:val="24"/>
              </w:rPr>
              <w:t>impresszionizmus</w:t>
            </w:r>
            <w:proofErr w:type="gramEnd"/>
            <w:r w:rsidRPr="00D53010">
              <w:rPr>
                <w:szCs w:val="24"/>
              </w:rPr>
              <w:t>, a szimbolizmus, és a szecesszió stílus- és formajegyei</w:t>
            </w:r>
          </w:p>
          <w:p w:rsidR="00EC46B4" w:rsidRPr="00D53010" w:rsidRDefault="00EC46B4"/>
        </w:tc>
      </w:tr>
      <w:tr w:rsidR="00EC46B4" w:rsidRPr="00D53010" w:rsidTr="00EC46B4">
        <w:tc>
          <w:tcPr>
            <w:tcW w:w="9212" w:type="dxa"/>
          </w:tcPr>
          <w:p w:rsidR="00EC46B4" w:rsidRPr="00D53010" w:rsidRDefault="006100B0" w:rsidP="00642CE5">
            <w:pPr>
              <w:rPr>
                <w:szCs w:val="24"/>
              </w:rPr>
            </w:pPr>
            <w:r>
              <w:rPr>
                <w:szCs w:val="24"/>
              </w:rPr>
              <w:t>Kosztolányi Dezső</w:t>
            </w:r>
          </w:p>
          <w:p w:rsidR="00EC46B4" w:rsidRPr="00D53010" w:rsidRDefault="00EC46B4" w:rsidP="00642CE5"/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 xml:space="preserve">Móricz Zsigmond: Légy jó mindhalálig! </w:t>
            </w:r>
          </w:p>
          <w:p w:rsidR="00EC46B4" w:rsidRPr="00D53010" w:rsidRDefault="00EC46B4"/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 xml:space="preserve">Ady Endre </w:t>
            </w:r>
          </w:p>
          <w:p w:rsidR="00EC46B4" w:rsidRPr="00D53010" w:rsidRDefault="00EC46B4"/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>Karinthy Frigyes: Tanár úr kérem</w:t>
            </w:r>
          </w:p>
          <w:p w:rsidR="00EC46B4" w:rsidRPr="00D53010" w:rsidRDefault="00EC46B4"/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>Babits Mihály</w:t>
            </w:r>
          </w:p>
          <w:p w:rsidR="00EC46B4" w:rsidRPr="00D53010" w:rsidRDefault="00EC46B4"/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>Tóth Árpád</w:t>
            </w:r>
          </w:p>
          <w:p w:rsidR="00EC46B4" w:rsidRPr="00D53010" w:rsidRDefault="00EC46B4" w:rsidP="00EC46B4"/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>József Attila</w:t>
            </w:r>
          </w:p>
          <w:p w:rsidR="00EC46B4" w:rsidRPr="00D53010" w:rsidRDefault="00EC46B4"/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642CE5">
            <w:pPr>
              <w:rPr>
                <w:szCs w:val="24"/>
              </w:rPr>
            </w:pPr>
            <w:r w:rsidRPr="00D53010">
              <w:rPr>
                <w:szCs w:val="24"/>
              </w:rPr>
              <w:t>Szabó Lőrinc</w:t>
            </w:r>
          </w:p>
          <w:p w:rsidR="00EC46B4" w:rsidRPr="00D53010" w:rsidRDefault="00EC46B4" w:rsidP="00642CE5"/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642CE5">
            <w:pPr>
              <w:rPr>
                <w:szCs w:val="24"/>
              </w:rPr>
            </w:pPr>
            <w:r w:rsidRPr="00D53010">
              <w:rPr>
                <w:szCs w:val="24"/>
              </w:rPr>
              <w:t>Örkény István</w:t>
            </w:r>
          </w:p>
          <w:p w:rsidR="00EC46B4" w:rsidRPr="00D53010" w:rsidRDefault="00EC46B4" w:rsidP="00642CE5"/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 xml:space="preserve">Weöres Sándor </w:t>
            </w:r>
          </w:p>
          <w:p w:rsidR="00EC46B4" w:rsidRPr="00D53010" w:rsidRDefault="00EC46B4"/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szCs w:val="24"/>
              </w:rPr>
            </w:pPr>
            <w:r w:rsidRPr="00D53010">
              <w:rPr>
                <w:szCs w:val="24"/>
              </w:rPr>
              <w:t>Radnóti Miklós</w:t>
            </w:r>
          </w:p>
          <w:p w:rsidR="00EC46B4" w:rsidRPr="00D53010" w:rsidRDefault="00EC46B4"/>
        </w:tc>
      </w:tr>
    </w:tbl>
    <w:p w:rsidR="00EC46B4" w:rsidRPr="00D53010" w:rsidRDefault="00EC46B4" w:rsidP="00F33B48">
      <w:pPr>
        <w:rPr>
          <w:szCs w:val="24"/>
        </w:rPr>
      </w:pPr>
    </w:p>
    <w:p w:rsidR="00EC46B4" w:rsidRPr="00D53010" w:rsidRDefault="00EC46B4" w:rsidP="00F33B48">
      <w:pPr>
        <w:rPr>
          <w:szCs w:val="24"/>
        </w:rPr>
      </w:pPr>
      <w:r w:rsidRPr="00D53010">
        <w:rPr>
          <w:szCs w:val="24"/>
        </w:rPr>
        <w:t xml:space="preserve">9. osztály </w:t>
      </w:r>
    </w:p>
    <w:p w:rsidR="00EC46B4" w:rsidRPr="00D53010" w:rsidRDefault="00EC46B4" w:rsidP="00F33B48">
      <w:pPr>
        <w:rPr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rFonts w:cs="Calibri"/>
                <w:bCs/>
                <w:szCs w:val="24"/>
              </w:rPr>
            </w:pPr>
            <w:r w:rsidRPr="00D53010">
              <w:rPr>
                <w:rFonts w:cs="Calibri"/>
                <w:bCs/>
                <w:szCs w:val="24"/>
              </w:rPr>
              <w:t>A görög mitológia, a görög epika</w:t>
            </w:r>
            <w:r w:rsidR="006100B0">
              <w:rPr>
                <w:rFonts w:cs="Calibri"/>
                <w:bCs/>
                <w:szCs w:val="24"/>
              </w:rPr>
              <w:t>,</w:t>
            </w:r>
            <w:r w:rsidRPr="00D53010">
              <w:rPr>
                <w:rFonts w:cs="Calibri"/>
                <w:bCs/>
                <w:szCs w:val="24"/>
              </w:rPr>
              <w:t xml:space="preserve"> dráma és líra</w:t>
            </w:r>
          </w:p>
          <w:p w:rsidR="00EC46B4" w:rsidRPr="00D53010" w:rsidRDefault="00EC46B4" w:rsidP="00F33B48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642CE5">
            <w:pPr>
              <w:rPr>
                <w:rFonts w:cs="Calibri"/>
                <w:bCs/>
                <w:szCs w:val="24"/>
              </w:rPr>
            </w:pPr>
            <w:r w:rsidRPr="00D53010">
              <w:rPr>
                <w:rFonts w:cs="Calibri"/>
                <w:bCs/>
                <w:szCs w:val="24"/>
              </w:rPr>
              <w:t>Az antik római irodalom</w:t>
            </w:r>
          </w:p>
          <w:p w:rsidR="00EC46B4" w:rsidRPr="00D53010" w:rsidRDefault="00EC46B4" w:rsidP="00642CE5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rFonts w:cs="Calibri"/>
                <w:bCs/>
                <w:szCs w:val="24"/>
              </w:rPr>
            </w:pPr>
            <w:r w:rsidRPr="00D53010">
              <w:rPr>
                <w:rFonts w:cs="Calibri"/>
                <w:bCs/>
                <w:szCs w:val="24"/>
              </w:rPr>
              <w:t>Az európai irodalom a 4–15. században (középkor)</w:t>
            </w:r>
          </w:p>
          <w:p w:rsidR="00EC46B4" w:rsidRPr="00D53010" w:rsidRDefault="00EC46B4" w:rsidP="00F33B48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rFonts w:cs="Calibri"/>
                <w:bCs/>
                <w:szCs w:val="24"/>
              </w:rPr>
            </w:pPr>
            <w:r w:rsidRPr="00D53010">
              <w:rPr>
                <w:rFonts w:cs="Calibri"/>
                <w:bCs/>
                <w:szCs w:val="24"/>
              </w:rPr>
              <w:t>Az európai irodalom a 14</w:t>
            </w:r>
            <w:r w:rsidRPr="00D53010">
              <w:rPr>
                <w:rFonts w:cs="Calibri"/>
                <w:color w:val="333333"/>
                <w:szCs w:val="24"/>
              </w:rPr>
              <w:t>–</w:t>
            </w:r>
            <w:r w:rsidRPr="00D53010">
              <w:rPr>
                <w:rFonts w:cs="Calibri"/>
                <w:bCs/>
                <w:szCs w:val="24"/>
              </w:rPr>
              <w:t>16. században (reneszánsz)</w:t>
            </w:r>
          </w:p>
          <w:p w:rsidR="00EC46B4" w:rsidRPr="00D53010" w:rsidRDefault="00EC46B4" w:rsidP="00F33B48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Janus Pannonius</w:t>
            </w:r>
          </w:p>
          <w:p w:rsidR="00EC46B4" w:rsidRPr="00D53010" w:rsidRDefault="00EC46B4" w:rsidP="00F33B48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Balassi Bálint</w:t>
            </w:r>
          </w:p>
          <w:p w:rsidR="00EC46B4" w:rsidRPr="00D53010" w:rsidRDefault="00EC46B4" w:rsidP="00F33B48">
            <w:pPr>
              <w:rPr>
                <w:szCs w:val="24"/>
              </w:rPr>
            </w:pPr>
          </w:p>
        </w:tc>
      </w:tr>
      <w:tr w:rsidR="00EC46B4" w:rsidRPr="00D53010" w:rsidTr="00EC46B4">
        <w:tc>
          <w:tcPr>
            <w:tcW w:w="9212" w:type="dxa"/>
          </w:tcPr>
          <w:p w:rsidR="00EC46B4" w:rsidRPr="00D53010" w:rsidRDefault="00EC46B4" w:rsidP="00EC46B4">
            <w:pPr>
              <w:rPr>
                <w:rFonts w:cs="Calibri"/>
                <w:bCs/>
                <w:szCs w:val="24"/>
              </w:rPr>
            </w:pPr>
            <w:r w:rsidRPr="00D53010">
              <w:rPr>
                <w:rFonts w:cs="Calibri"/>
                <w:bCs/>
                <w:szCs w:val="24"/>
              </w:rPr>
              <w:t>Az angol színház a 16</w:t>
            </w:r>
            <w:r w:rsidRPr="00D53010">
              <w:rPr>
                <w:rFonts w:cs="Calibri"/>
                <w:bCs/>
                <w:color w:val="333333"/>
                <w:szCs w:val="24"/>
              </w:rPr>
              <w:t>–</w:t>
            </w:r>
            <w:r w:rsidRPr="00D53010">
              <w:rPr>
                <w:rFonts w:cs="Calibri"/>
                <w:bCs/>
                <w:szCs w:val="24"/>
              </w:rPr>
              <w:t>17. században és Shakespeare</w:t>
            </w:r>
          </w:p>
          <w:p w:rsidR="00EC46B4" w:rsidRPr="00D53010" w:rsidRDefault="00EC46B4" w:rsidP="00F33B48">
            <w:pPr>
              <w:rPr>
                <w:szCs w:val="24"/>
              </w:rPr>
            </w:pPr>
          </w:p>
        </w:tc>
      </w:tr>
    </w:tbl>
    <w:p w:rsidR="00EC46B4" w:rsidRPr="00D53010" w:rsidRDefault="00EC46B4" w:rsidP="00F33B48">
      <w:pPr>
        <w:rPr>
          <w:szCs w:val="24"/>
        </w:rPr>
      </w:pPr>
    </w:p>
    <w:p w:rsidR="00EC46B4" w:rsidRPr="00D53010" w:rsidRDefault="00EC46B4" w:rsidP="00EC46B4">
      <w:pPr>
        <w:rPr>
          <w:rFonts w:cs="Calibri"/>
          <w:bCs/>
          <w:szCs w:val="24"/>
        </w:rPr>
      </w:pPr>
    </w:p>
    <w:p w:rsidR="00EC46B4" w:rsidRPr="00D53010" w:rsidRDefault="00EC46B4" w:rsidP="00EC46B4">
      <w:pPr>
        <w:rPr>
          <w:rFonts w:cs="Calibri"/>
          <w:bCs/>
          <w:szCs w:val="24"/>
        </w:rPr>
      </w:pPr>
    </w:p>
    <w:p w:rsidR="00EC46B4" w:rsidRPr="00D53010" w:rsidRDefault="00EC46B4" w:rsidP="00EC46B4">
      <w:pPr>
        <w:rPr>
          <w:rFonts w:cs="Calibri"/>
          <w:bCs/>
          <w:szCs w:val="24"/>
        </w:rPr>
      </w:pPr>
      <w:r w:rsidRPr="00D53010">
        <w:rPr>
          <w:rFonts w:cs="Calibri"/>
          <w:bCs/>
          <w:szCs w:val="24"/>
        </w:rPr>
        <w:t xml:space="preserve">10. osztály </w:t>
      </w:r>
    </w:p>
    <w:p w:rsidR="00EC46B4" w:rsidRPr="00D53010" w:rsidRDefault="00EC46B4" w:rsidP="00EC46B4">
      <w:pPr>
        <w:rPr>
          <w:rFonts w:cs="Calibri"/>
          <w:bCs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C46B4" w:rsidRPr="00D53010" w:rsidTr="00642CE5">
        <w:trPr>
          <w:trHeight w:val="510"/>
        </w:trPr>
        <w:tc>
          <w:tcPr>
            <w:tcW w:w="5760" w:type="dxa"/>
            <w:vAlign w:val="center"/>
          </w:tcPr>
          <w:p w:rsidR="00EC46B4" w:rsidRPr="00D53010" w:rsidRDefault="00EC46B4" w:rsidP="00642CE5">
            <w:pPr>
              <w:spacing w:before="120" w:beforeAutospacing="1" w:after="100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A késő reneszánsz, barokk, klasszicizmus (16</w:t>
            </w:r>
            <w:r w:rsidRPr="00D53010">
              <w:rPr>
                <w:rFonts w:cs="Calibri"/>
                <w:bCs/>
                <w:color w:val="333333"/>
                <w:szCs w:val="24"/>
              </w:rPr>
              <w:t>–</w:t>
            </w:r>
            <w:r w:rsidRPr="00D53010">
              <w:rPr>
                <w:rFonts w:cs="Calibri"/>
                <w:bCs/>
                <w:szCs w:val="24"/>
                <w:lang w:eastAsia="hu-HU"/>
              </w:rPr>
              <w:t>17. század)</w:t>
            </w:r>
          </w:p>
        </w:tc>
      </w:tr>
      <w:tr w:rsidR="00EC46B4" w:rsidRPr="00D53010" w:rsidTr="00642CE5">
        <w:trPr>
          <w:trHeight w:val="510"/>
        </w:trPr>
        <w:tc>
          <w:tcPr>
            <w:tcW w:w="5760" w:type="dxa"/>
            <w:vAlign w:val="center"/>
          </w:tcPr>
          <w:p w:rsidR="00EC46B4" w:rsidRPr="00D53010" w:rsidRDefault="00EC46B4" w:rsidP="00642CE5">
            <w:pPr>
              <w:spacing w:before="120" w:beforeAutospacing="1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 xml:space="preserve">Zrínyi Miklós: </w:t>
            </w:r>
            <w:r w:rsidRPr="006100B0">
              <w:rPr>
                <w:rFonts w:cs="Calibri"/>
                <w:bCs/>
                <w:iCs/>
                <w:szCs w:val="24"/>
                <w:lang w:eastAsia="hu-HU"/>
              </w:rPr>
              <w:t>Szigeti veszedelem</w:t>
            </w:r>
            <w:r w:rsidRPr="00D53010">
              <w:rPr>
                <w:rFonts w:cs="Calibri"/>
                <w:bCs/>
                <w:szCs w:val="24"/>
                <w:lang w:eastAsia="hu-HU"/>
              </w:rPr>
              <w:t xml:space="preserve"> </w:t>
            </w:r>
          </w:p>
        </w:tc>
      </w:tr>
      <w:tr w:rsidR="00EC46B4" w:rsidRPr="00D53010" w:rsidTr="00642CE5">
        <w:trPr>
          <w:trHeight w:val="510"/>
        </w:trPr>
        <w:tc>
          <w:tcPr>
            <w:tcW w:w="5760" w:type="dxa"/>
            <w:vAlign w:val="center"/>
          </w:tcPr>
          <w:p w:rsidR="00EC46B4" w:rsidRPr="00D53010" w:rsidRDefault="00EC46B4" w:rsidP="00325796">
            <w:pPr>
              <w:spacing w:before="100" w:beforeAutospacing="1" w:after="100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A francia klasszicista színház</w:t>
            </w:r>
            <w:r w:rsidR="00325796" w:rsidRPr="00D53010">
              <w:rPr>
                <w:rFonts w:cs="Calibri"/>
                <w:bCs/>
                <w:szCs w:val="24"/>
                <w:lang w:eastAsia="hu-HU"/>
              </w:rPr>
              <w:t xml:space="preserve">: </w:t>
            </w:r>
            <w:proofErr w:type="spellStart"/>
            <w:r w:rsidR="00325796" w:rsidRPr="00D53010">
              <w:rPr>
                <w:rFonts w:cs="Calibri"/>
                <w:bCs/>
                <w:szCs w:val="24"/>
                <w:lang w:eastAsia="hu-HU"/>
              </w:rPr>
              <w:t>Moliere</w:t>
            </w:r>
            <w:proofErr w:type="spellEnd"/>
          </w:p>
        </w:tc>
      </w:tr>
      <w:tr w:rsidR="00EC46B4" w:rsidRPr="00D53010" w:rsidTr="00642CE5">
        <w:trPr>
          <w:trHeight w:val="510"/>
        </w:trPr>
        <w:tc>
          <w:tcPr>
            <w:tcW w:w="5760" w:type="dxa"/>
            <w:vAlign w:val="center"/>
          </w:tcPr>
          <w:p w:rsidR="00EC46B4" w:rsidRPr="00D53010" w:rsidRDefault="00EC46B4" w:rsidP="00642CE5">
            <w:pPr>
              <w:spacing w:before="120" w:beforeAutospacing="1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</w:rPr>
              <w:t>Az európai irodalom a 18. században (Voltaire, Rousseau)</w:t>
            </w:r>
          </w:p>
        </w:tc>
      </w:tr>
      <w:tr w:rsidR="00EC46B4" w:rsidRPr="00D53010" w:rsidTr="00642CE5">
        <w:trPr>
          <w:trHeight w:val="510"/>
        </w:trPr>
        <w:tc>
          <w:tcPr>
            <w:tcW w:w="5760" w:type="dxa"/>
            <w:vAlign w:val="center"/>
          </w:tcPr>
          <w:p w:rsidR="00EC46B4" w:rsidRPr="00D53010" w:rsidRDefault="00EC46B4" w:rsidP="00642CE5">
            <w:pPr>
              <w:spacing w:before="120" w:beforeAutospacing="1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 xml:space="preserve">Magyar irodalom a 18. </w:t>
            </w:r>
            <w:proofErr w:type="gramStart"/>
            <w:r w:rsidRPr="00D53010">
              <w:rPr>
                <w:rFonts w:cs="Calibri"/>
                <w:bCs/>
                <w:szCs w:val="24"/>
                <w:lang w:eastAsia="hu-HU"/>
              </w:rPr>
              <w:t>században :</w:t>
            </w:r>
            <w:proofErr w:type="gramEnd"/>
            <w:r w:rsidRPr="00D53010">
              <w:rPr>
                <w:rFonts w:cs="Calibri"/>
                <w:bCs/>
                <w:szCs w:val="24"/>
                <w:lang w:eastAsia="hu-HU"/>
              </w:rPr>
              <w:t xml:space="preserve"> Csokonai Vitéz Mihály, Berzsenyi Dániel</w:t>
            </w:r>
          </w:p>
        </w:tc>
      </w:tr>
      <w:tr w:rsidR="00EC46B4" w:rsidRPr="00D53010" w:rsidTr="00642CE5">
        <w:trPr>
          <w:trHeight w:val="510"/>
        </w:trPr>
        <w:tc>
          <w:tcPr>
            <w:tcW w:w="5760" w:type="dxa"/>
            <w:vAlign w:val="center"/>
          </w:tcPr>
          <w:p w:rsidR="00EC46B4" w:rsidRPr="00D53010" w:rsidRDefault="00EC46B4" w:rsidP="00642CE5">
            <w:pPr>
              <w:spacing w:before="120" w:beforeAutospacing="1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</w:rPr>
              <w:t>A európai irodalom a 19. század első felében (romantika, romantika és realizmus)</w:t>
            </w:r>
          </w:p>
        </w:tc>
      </w:tr>
      <w:tr w:rsidR="00EC46B4" w:rsidRPr="00D53010" w:rsidTr="00642CE5">
        <w:trPr>
          <w:trHeight w:val="510"/>
        </w:trPr>
        <w:tc>
          <w:tcPr>
            <w:tcW w:w="5760" w:type="dxa"/>
            <w:vAlign w:val="center"/>
          </w:tcPr>
          <w:p w:rsidR="00EC46B4" w:rsidRPr="00D53010" w:rsidRDefault="00EC46B4" w:rsidP="00642CE5">
            <w:pPr>
              <w:spacing w:before="100" w:beforeAutospacing="1" w:after="100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 xml:space="preserve">Katona József: </w:t>
            </w:r>
            <w:r w:rsidRPr="006100B0">
              <w:rPr>
                <w:rFonts w:cs="Calibri"/>
                <w:bCs/>
                <w:iCs/>
                <w:szCs w:val="24"/>
                <w:lang w:eastAsia="hu-HU"/>
              </w:rPr>
              <w:t>Bánk bán</w:t>
            </w:r>
          </w:p>
        </w:tc>
      </w:tr>
      <w:tr w:rsidR="00EC46B4" w:rsidRPr="00D53010" w:rsidTr="00642CE5">
        <w:trPr>
          <w:trHeight w:val="510"/>
        </w:trPr>
        <w:tc>
          <w:tcPr>
            <w:tcW w:w="5760" w:type="dxa"/>
            <w:vAlign w:val="center"/>
          </w:tcPr>
          <w:p w:rsidR="00EC46B4" w:rsidRPr="00D53010" w:rsidRDefault="00EC46B4" w:rsidP="00EC46B4">
            <w:pPr>
              <w:spacing w:before="120" w:beforeAutospacing="1" w:after="100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Magyar irodalom a 19. század első felében: Kölcsey Ferenc, Vörösmarty Mihály</w:t>
            </w:r>
          </w:p>
        </w:tc>
      </w:tr>
      <w:tr w:rsidR="00EC46B4" w:rsidRPr="00D53010" w:rsidTr="00642CE5">
        <w:trPr>
          <w:trHeight w:val="510"/>
        </w:trPr>
        <w:tc>
          <w:tcPr>
            <w:tcW w:w="5760" w:type="dxa"/>
            <w:vAlign w:val="center"/>
          </w:tcPr>
          <w:p w:rsidR="00EC46B4" w:rsidRPr="00D53010" w:rsidRDefault="00EC46B4" w:rsidP="00642CE5">
            <w:pPr>
              <w:spacing w:before="100" w:beforeAutospacing="1" w:after="100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Petőfi Sándor</w:t>
            </w:r>
          </w:p>
        </w:tc>
      </w:tr>
      <w:tr w:rsidR="00EC46B4" w:rsidRPr="00D53010" w:rsidTr="00642CE5">
        <w:trPr>
          <w:trHeight w:val="510"/>
        </w:trPr>
        <w:tc>
          <w:tcPr>
            <w:tcW w:w="5760" w:type="dxa"/>
            <w:vAlign w:val="center"/>
          </w:tcPr>
          <w:p w:rsidR="00EC46B4" w:rsidRPr="00D53010" w:rsidRDefault="00EC46B4" w:rsidP="00642CE5">
            <w:pPr>
              <w:spacing w:before="100" w:beforeAutospacing="1" w:after="100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Jókai Mór</w:t>
            </w:r>
          </w:p>
        </w:tc>
      </w:tr>
    </w:tbl>
    <w:p w:rsidR="00EC46B4" w:rsidRPr="00D53010" w:rsidRDefault="00EC46B4" w:rsidP="00EC46B4">
      <w:pPr>
        <w:rPr>
          <w:rFonts w:cs="Calibri"/>
          <w:bCs/>
          <w:szCs w:val="24"/>
        </w:rPr>
      </w:pPr>
    </w:p>
    <w:p w:rsidR="00F33B48" w:rsidRPr="00D53010" w:rsidRDefault="00F33B48" w:rsidP="00F33B48">
      <w:pPr>
        <w:rPr>
          <w:szCs w:val="24"/>
        </w:rPr>
      </w:pPr>
    </w:p>
    <w:p w:rsidR="00325796" w:rsidRPr="00D53010" w:rsidRDefault="00325796" w:rsidP="00F33B48">
      <w:pPr>
        <w:rPr>
          <w:szCs w:val="24"/>
        </w:rPr>
      </w:pPr>
    </w:p>
    <w:p w:rsidR="00325796" w:rsidRPr="00D53010" w:rsidRDefault="00325796" w:rsidP="00F33B48">
      <w:pPr>
        <w:rPr>
          <w:szCs w:val="24"/>
        </w:rPr>
      </w:pPr>
    </w:p>
    <w:p w:rsidR="00325796" w:rsidRPr="00D53010" w:rsidRDefault="00325796" w:rsidP="00F33B48">
      <w:pPr>
        <w:rPr>
          <w:szCs w:val="24"/>
        </w:rPr>
      </w:pPr>
    </w:p>
    <w:p w:rsidR="00325796" w:rsidRPr="00D53010" w:rsidRDefault="00325796" w:rsidP="00F33B48">
      <w:pPr>
        <w:rPr>
          <w:szCs w:val="24"/>
        </w:rPr>
      </w:pPr>
    </w:p>
    <w:p w:rsidR="00325796" w:rsidRPr="00D53010" w:rsidRDefault="00325796" w:rsidP="00F33B48">
      <w:pPr>
        <w:rPr>
          <w:szCs w:val="24"/>
        </w:rPr>
      </w:pPr>
    </w:p>
    <w:p w:rsidR="00325796" w:rsidRPr="00D53010" w:rsidRDefault="00325796" w:rsidP="00F33B48">
      <w:pPr>
        <w:rPr>
          <w:szCs w:val="24"/>
        </w:rPr>
      </w:pPr>
    </w:p>
    <w:p w:rsidR="00325796" w:rsidRPr="00D53010" w:rsidRDefault="00325796" w:rsidP="00F33B48">
      <w:pPr>
        <w:rPr>
          <w:szCs w:val="24"/>
        </w:rPr>
      </w:pPr>
    </w:p>
    <w:p w:rsidR="00325796" w:rsidRPr="00D53010" w:rsidRDefault="00325796" w:rsidP="00325796">
      <w:pPr>
        <w:rPr>
          <w:szCs w:val="24"/>
        </w:rPr>
      </w:pPr>
      <w:r w:rsidRPr="00D53010">
        <w:rPr>
          <w:szCs w:val="24"/>
        </w:rPr>
        <w:lastRenderedPageBreak/>
        <w:t xml:space="preserve">11. osztály </w:t>
      </w:r>
    </w:p>
    <w:p w:rsidR="00EC46B4" w:rsidRPr="00D53010" w:rsidRDefault="00EC46B4" w:rsidP="00F33B48">
      <w:pPr>
        <w:rPr>
          <w:szCs w:val="24"/>
        </w:rPr>
      </w:pPr>
    </w:p>
    <w:p w:rsidR="00EC46B4" w:rsidRPr="00D53010" w:rsidRDefault="00EC46B4" w:rsidP="00F33B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5"/>
      </w:tblGrid>
      <w:tr w:rsidR="00325796" w:rsidRPr="00D53010" w:rsidTr="002924C5">
        <w:trPr>
          <w:trHeight w:val="592"/>
        </w:trPr>
        <w:tc>
          <w:tcPr>
            <w:tcW w:w="9295" w:type="dxa"/>
            <w:vAlign w:val="center"/>
          </w:tcPr>
          <w:p w:rsidR="00325796" w:rsidRPr="00D53010" w:rsidRDefault="00325796" w:rsidP="00642CE5">
            <w:pPr>
              <w:spacing w:before="100" w:beforeAutospacing="1" w:afterAutospacing="1"/>
              <w:rPr>
                <w:rFonts w:cs="Calibri"/>
                <w:bCs/>
                <w:szCs w:val="24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Arany János</w:t>
            </w:r>
          </w:p>
        </w:tc>
      </w:tr>
      <w:tr w:rsidR="00325796" w:rsidRPr="00D53010" w:rsidTr="002924C5">
        <w:trPr>
          <w:trHeight w:val="544"/>
        </w:trPr>
        <w:tc>
          <w:tcPr>
            <w:tcW w:w="9295" w:type="dxa"/>
            <w:vAlign w:val="center"/>
          </w:tcPr>
          <w:p w:rsidR="00325796" w:rsidRPr="00D53010" w:rsidRDefault="00325796" w:rsidP="00642CE5">
            <w:pPr>
              <w:spacing w:before="100" w:beforeAutospacing="1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 xml:space="preserve">Madách Imre: </w:t>
            </w:r>
            <w:r w:rsidRPr="006100B0">
              <w:rPr>
                <w:rFonts w:cs="Calibri"/>
                <w:bCs/>
                <w:iCs/>
                <w:szCs w:val="24"/>
                <w:lang w:eastAsia="hu-HU"/>
              </w:rPr>
              <w:t>Az ember tragédiája</w:t>
            </w:r>
          </w:p>
        </w:tc>
      </w:tr>
      <w:tr w:rsidR="00325796" w:rsidRPr="00D53010" w:rsidTr="002924C5">
        <w:trPr>
          <w:trHeight w:val="423"/>
        </w:trPr>
        <w:tc>
          <w:tcPr>
            <w:tcW w:w="9295" w:type="dxa"/>
            <w:vAlign w:val="center"/>
          </w:tcPr>
          <w:p w:rsidR="00325796" w:rsidRPr="00D53010" w:rsidRDefault="00325796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</w:rPr>
              <w:t>Az európai epika és líra a romantika után</w:t>
            </w:r>
            <w:r w:rsidR="00642CE5" w:rsidRPr="00D53010">
              <w:rPr>
                <w:rFonts w:cs="Calibri"/>
                <w:szCs w:val="24"/>
              </w:rPr>
              <w:t>: Tolsztoj, Gogol, Csehov</w:t>
            </w:r>
            <w:r w:rsidR="006100B0">
              <w:rPr>
                <w:rFonts w:cs="Calibri"/>
                <w:szCs w:val="24"/>
              </w:rPr>
              <w:t>, Balzac</w:t>
            </w:r>
          </w:p>
        </w:tc>
      </w:tr>
      <w:tr w:rsidR="00325796" w:rsidRPr="00D53010" w:rsidTr="00A34DC7">
        <w:trPr>
          <w:trHeight w:val="699"/>
        </w:trPr>
        <w:tc>
          <w:tcPr>
            <w:tcW w:w="9295" w:type="dxa"/>
            <w:vAlign w:val="center"/>
          </w:tcPr>
          <w:p w:rsidR="00325796" w:rsidRPr="00D53010" w:rsidRDefault="00325796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Az európai dráma és színház a 19. sz. második felében</w:t>
            </w:r>
            <w:r w:rsidR="006100B0">
              <w:rPr>
                <w:rFonts w:cs="Calibri"/>
                <w:bCs/>
                <w:szCs w:val="24"/>
                <w:lang w:eastAsia="hu-HU"/>
              </w:rPr>
              <w:t xml:space="preserve">: Ibsen </w:t>
            </w:r>
          </w:p>
        </w:tc>
      </w:tr>
      <w:tr w:rsidR="00325796" w:rsidRPr="00D53010" w:rsidTr="002924C5">
        <w:trPr>
          <w:trHeight w:val="570"/>
        </w:trPr>
        <w:tc>
          <w:tcPr>
            <w:tcW w:w="9295" w:type="dxa"/>
            <w:vAlign w:val="center"/>
          </w:tcPr>
          <w:p w:rsidR="00325796" w:rsidRPr="00D53010" w:rsidRDefault="00325796" w:rsidP="00642CE5">
            <w:pPr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Magyar irodalom a 19. század második felében: Mikszáth Kálmán</w:t>
            </w:r>
          </w:p>
        </w:tc>
      </w:tr>
      <w:tr w:rsidR="00325796" w:rsidRPr="00D53010" w:rsidTr="002924C5">
        <w:trPr>
          <w:trHeight w:val="408"/>
        </w:trPr>
        <w:tc>
          <w:tcPr>
            <w:tcW w:w="9295" w:type="dxa"/>
            <w:vAlign w:val="center"/>
          </w:tcPr>
          <w:p w:rsidR="00325796" w:rsidRPr="00D53010" w:rsidRDefault="00325796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Ady Endre</w:t>
            </w:r>
          </w:p>
        </w:tc>
      </w:tr>
      <w:tr w:rsidR="00325796" w:rsidRPr="00D53010" w:rsidTr="002924C5">
        <w:trPr>
          <w:trHeight w:val="414"/>
        </w:trPr>
        <w:tc>
          <w:tcPr>
            <w:tcW w:w="9295" w:type="dxa"/>
            <w:vAlign w:val="center"/>
          </w:tcPr>
          <w:p w:rsidR="00325796" w:rsidRPr="00D53010" w:rsidRDefault="00325796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Móricz Zsigmond</w:t>
            </w:r>
          </w:p>
        </w:tc>
      </w:tr>
      <w:tr w:rsidR="00325796" w:rsidRPr="00D53010" w:rsidTr="002924C5">
        <w:trPr>
          <w:trHeight w:val="419"/>
        </w:trPr>
        <w:tc>
          <w:tcPr>
            <w:tcW w:w="9295" w:type="dxa"/>
            <w:vAlign w:val="center"/>
          </w:tcPr>
          <w:p w:rsidR="00325796" w:rsidRPr="00D53010" w:rsidRDefault="00325796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Babits Mihály</w:t>
            </w:r>
          </w:p>
        </w:tc>
      </w:tr>
      <w:tr w:rsidR="00325796" w:rsidRPr="00D53010" w:rsidTr="002924C5">
        <w:trPr>
          <w:trHeight w:val="412"/>
        </w:trPr>
        <w:tc>
          <w:tcPr>
            <w:tcW w:w="9295" w:type="dxa"/>
            <w:vAlign w:val="center"/>
          </w:tcPr>
          <w:p w:rsidR="00325796" w:rsidRPr="00D53010" w:rsidRDefault="00325796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Kosztolányi Dezső</w:t>
            </w:r>
          </w:p>
        </w:tc>
      </w:tr>
      <w:tr w:rsidR="00325796" w:rsidRPr="00D53010" w:rsidTr="002924C5">
        <w:trPr>
          <w:trHeight w:val="404"/>
        </w:trPr>
        <w:tc>
          <w:tcPr>
            <w:tcW w:w="9295" w:type="dxa"/>
            <w:vAlign w:val="center"/>
          </w:tcPr>
          <w:p w:rsidR="00325796" w:rsidRPr="00D53010" w:rsidRDefault="00325796" w:rsidP="002924C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Karinthy Frigyes</w:t>
            </w:r>
          </w:p>
        </w:tc>
      </w:tr>
      <w:tr w:rsidR="00325796" w:rsidRPr="00D53010" w:rsidTr="00325796">
        <w:trPr>
          <w:trHeight w:val="50"/>
        </w:trPr>
        <w:tc>
          <w:tcPr>
            <w:tcW w:w="9295" w:type="dxa"/>
            <w:vAlign w:val="center"/>
          </w:tcPr>
          <w:p w:rsidR="00325796" w:rsidRPr="00D53010" w:rsidRDefault="002924C5" w:rsidP="00325796">
            <w:pPr>
              <w:spacing w:before="100" w:beforeAutospacing="1" w:afterAutospacing="1"/>
              <w:rPr>
                <w:rFonts w:cs="Calibri"/>
                <w:bCs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iCs/>
                <w:szCs w:val="24"/>
                <w:lang w:eastAsia="hu-HU"/>
              </w:rPr>
              <w:t>Krúdy Gyula</w:t>
            </w:r>
          </w:p>
        </w:tc>
      </w:tr>
    </w:tbl>
    <w:p w:rsidR="00EC46B4" w:rsidRPr="00D53010" w:rsidRDefault="00EC46B4" w:rsidP="00F33B48">
      <w:pPr>
        <w:rPr>
          <w:szCs w:val="24"/>
        </w:rPr>
      </w:pPr>
    </w:p>
    <w:p w:rsidR="00EC46B4" w:rsidRPr="00D53010" w:rsidRDefault="00EC46B4" w:rsidP="00F33B48">
      <w:pPr>
        <w:rPr>
          <w:szCs w:val="24"/>
        </w:rPr>
      </w:pPr>
    </w:p>
    <w:p w:rsidR="00EC46B4" w:rsidRPr="00D53010" w:rsidRDefault="00325796" w:rsidP="00F33B48">
      <w:pPr>
        <w:rPr>
          <w:szCs w:val="24"/>
        </w:rPr>
      </w:pPr>
      <w:r w:rsidRPr="00D53010">
        <w:rPr>
          <w:szCs w:val="24"/>
        </w:rPr>
        <w:t xml:space="preserve">12. osztály </w:t>
      </w:r>
    </w:p>
    <w:p w:rsidR="00EC46B4" w:rsidRPr="00D53010" w:rsidRDefault="00EC46B4" w:rsidP="00F33B48">
      <w:pPr>
        <w:rPr>
          <w:szCs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5"/>
      </w:tblGrid>
      <w:tr w:rsidR="00325796" w:rsidRPr="00D53010" w:rsidTr="002924C5">
        <w:trPr>
          <w:trHeight w:val="535"/>
        </w:trPr>
        <w:tc>
          <w:tcPr>
            <w:tcW w:w="9455" w:type="dxa"/>
            <w:vAlign w:val="center"/>
          </w:tcPr>
          <w:p w:rsidR="00325796" w:rsidRPr="00D53010" w:rsidRDefault="002924C5" w:rsidP="002924C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Az a</w:t>
            </w:r>
            <w:r w:rsidR="00325796" w:rsidRPr="00D53010">
              <w:rPr>
                <w:rFonts w:cs="Calibri"/>
                <w:bCs/>
                <w:szCs w:val="24"/>
                <w:lang w:eastAsia="hu-HU"/>
              </w:rPr>
              <w:t>vantgárd irányzatok; a magyar avantgárd</w:t>
            </w:r>
          </w:p>
        </w:tc>
      </w:tr>
      <w:tr w:rsidR="00325796" w:rsidRPr="00D53010" w:rsidTr="002924C5">
        <w:trPr>
          <w:trHeight w:val="535"/>
        </w:trPr>
        <w:tc>
          <w:tcPr>
            <w:tcW w:w="9455" w:type="dxa"/>
            <w:vAlign w:val="center"/>
          </w:tcPr>
          <w:p w:rsidR="00325796" w:rsidRPr="00D53010" w:rsidRDefault="002924C5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E</w:t>
            </w:r>
            <w:r w:rsidR="00325796" w:rsidRPr="00D53010">
              <w:rPr>
                <w:rFonts w:cs="Calibri"/>
                <w:bCs/>
                <w:szCs w:val="24"/>
                <w:lang w:eastAsia="hu-HU"/>
              </w:rPr>
              <w:t>pikai és lírai törekvések a 20. században és a kortárs irodalomban</w:t>
            </w:r>
            <w:r w:rsidRPr="00D53010">
              <w:rPr>
                <w:rFonts w:cs="Calibri"/>
                <w:bCs/>
                <w:szCs w:val="24"/>
                <w:lang w:eastAsia="hu-HU"/>
              </w:rPr>
              <w:t>: Thomas Mann, Franz Kafka, Apollinaire</w:t>
            </w:r>
            <w:r w:rsidR="006100B0">
              <w:rPr>
                <w:rFonts w:cs="Calibri"/>
                <w:bCs/>
                <w:szCs w:val="24"/>
                <w:lang w:eastAsia="hu-HU"/>
              </w:rPr>
              <w:t>, Hemingway</w:t>
            </w:r>
          </w:p>
        </w:tc>
      </w:tr>
      <w:tr w:rsidR="00325796" w:rsidRPr="00D53010" w:rsidTr="002924C5">
        <w:trPr>
          <w:trHeight w:val="535"/>
        </w:trPr>
        <w:tc>
          <w:tcPr>
            <w:tcW w:w="9455" w:type="dxa"/>
            <w:vAlign w:val="center"/>
          </w:tcPr>
          <w:p w:rsidR="00325796" w:rsidRPr="00D53010" w:rsidRDefault="002924C5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 xml:space="preserve">A </w:t>
            </w:r>
            <w:r w:rsidR="00325796" w:rsidRPr="00D53010">
              <w:rPr>
                <w:rFonts w:cs="Calibri"/>
                <w:bCs/>
                <w:szCs w:val="24"/>
                <w:lang w:eastAsia="hu-HU"/>
              </w:rPr>
              <w:t>20. századi és a kortárs drámairodalom néhány törekvése</w:t>
            </w:r>
            <w:r w:rsidR="006100B0">
              <w:rPr>
                <w:rFonts w:cs="Calibri"/>
                <w:bCs/>
                <w:szCs w:val="24"/>
                <w:lang w:eastAsia="hu-HU"/>
              </w:rPr>
              <w:t xml:space="preserve"> (F. Dürrenmatt, B. Brecht)</w:t>
            </w:r>
          </w:p>
        </w:tc>
      </w:tr>
      <w:tr w:rsidR="00325796" w:rsidRPr="00D53010" w:rsidTr="002924C5">
        <w:trPr>
          <w:trHeight w:val="535"/>
        </w:trPr>
        <w:tc>
          <w:tcPr>
            <w:tcW w:w="9455" w:type="dxa"/>
            <w:vAlign w:val="center"/>
          </w:tcPr>
          <w:p w:rsidR="00325796" w:rsidRPr="00D53010" w:rsidRDefault="00325796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József Attila</w:t>
            </w:r>
          </w:p>
        </w:tc>
      </w:tr>
      <w:tr w:rsidR="00325796" w:rsidRPr="00D53010" w:rsidTr="002924C5">
        <w:trPr>
          <w:trHeight w:val="535"/>
        </w:trPr>
        <w:tc>
          <w:tcPr>
            <w:tcW w:w="9455" w:type="dxa"/>
            <w:vAlign w:val="center"/>
          </w:tcPr>
          <w:p w:rsidR="00325796" w:rsidRPr="00D53010" w:rsidRDefault="00325796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Radnóti Miklós</w:t>
            </w:r>
          </w:p>
        </w:tc>
      </w:tr>
      <w:tr w:rsidR="00325796" w:rsidRPr="00D53010" w:rsidTr="002924C5">
        <w:trPr>
          <w:trHeight w:val="535"/>
        </w:trPr>
        <w:tc>
          <w:tcPr>
            <w:tcW w:w="9455" w:type="dxa"/>
            <w:vAlign w:val="center"/>
          </w:tcPr>
          <w:p w:rsidR="00325796" w:rsidRPr="00D53010" w:rsidRDefault="002924C5" w:rsidP="00642CE5">
            <w:pPr>
              <w:spacing w:before="100" w:beforeAutospacing="1" w:afterAutospacing="1"/>
              <w:rPr>
                <w:rFonts w:cs="Calibri"/>
                <w:bCs/>
                <w:i/>
                <w:i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 xml:space="preserve">Választható szerzők: </w:t>
            </w:r>
            <w:r w:rsidR="00325796" w:rsidRPr="00D53010">
              <w:rPr>
                <w:rFonts w:cs="Calibri"/>
                <w:bCs/>
                <w:szCs w:val="24"/>
                <w:lang w:eastAsia="hu-HU"/>
              </w:rPr>
              <w:t>Szabó Lőrinc, Márai Sándor, Pilinszky János, Weöres Sándor, Ottlik Géza</w:t>
            </w:r>
            <w:r w:rsidRPr="00D53010">
              <w:rPr>
                <w:rFonts w:cs="Calibri"/>
                <w:bCs/>
                <w:szCs w:val="24"/>
                <w:lang w:eastAsia="hu-HU"/>
              </w:rPr>
              <w:t xml:space="preserve"> Illyés Gyula, </w:t>
            </w:r>
            <w:smartTag w:uri="urn:schemas-microsoft-com:office:smarttags" w:element="PersonName">
              <w:smartTagPr>
                <w:attr w:name="ProductID" w:val="N￩meth L￡szl￳"/>
              </w:smartTagPr>
              <w:r w:rsidRPr="00D53010">
                <w:rPr>
                  <w:rFonts w:cs="Calibri"/>
                  <w:bCs/>
                  <w:szCs w:val="24"/>
                  <w:lang w:eastAsia="hu-HU"/>
                </w:rPr>
                <w:t>Németh László</w:t>
              </w:r>
            </w:smartTag>
            <w:r w:rsidRPr="00D53010">
              <w:rPr>
                <w:rFonts w:cs="Calibri"/>
                <w:bCs/>
                <w:szCs w:val="24"/>
                <w:lang w:eastAsia="hu-HU"/>
              </w:rPr>
              <w:t>, Örkény István, Nagy László</w:t>
            </w:r>
          </w:p>
        </w:tc>
      </w:tr>
      <w:tr w:rsidR="002924C5" w:rsidRPr="00D53010" w:rsidTr="002924C5">
        <w:trPr>
          <w:trHeight w:val="535"/>
        </w:trPr>
        <w:tc>
          <w:tcPr>
            <w:tcW w:w="9455" w:type="dxa"/>
            <w:vAlign w:val="center"/>
          </w:tcPr>
          <w:p w:rsidR="002924C5" w:rsidRPr="00D53010" w:rsidRDefault="002924C5" w:rsidP="00642CE5">
            <w:pPr>
              <w:spacing w:before="100" w:beforeAutospacing="1" w:afterAutospacing="1"/>
              <w:rPr>
                <w:rFonts w:cs="Calibri"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Kortárs irodalom</w:t>
            </w:r>
            <w:r w:rsidRPr="00D53010">
              <w:rPr>
                <w:rFonts w:cs="Calibri"/>
                <w:szCs w:val="24"/>
                <w:lang w:eastAsia="hu-HU"/>
              </w:rPr>
              <w:t xml:space="preserve"> </w:t>
            </w:r>
          </w:p>
        </w:tc>
      </w:tr>
      <w:tr w:rsidR="002924C5" w:rsidRPr="00D53010" w:rsidTr="002924C5">
        <w:trPr>
          <w:trHeight w:val="163"/>
        </w:trPr>
        <w:tc>
          <w:tcPr>
            <w:tcW w:w="9455" w:type="dxa"/>
            <w:vAlign w:val="center"/>
          </w:tcPr>
          <w:p w:rsidR="002924C5" w:rsidRPr="00D53010" w:rsidRDefault="002924C5" w:rsidP="00642CE5">
            <w:pPr>
              <w:spacing w:before="100" w:beforeAutospacing="1" w:afterAutospacing="1"/>
              <w:rPr>
                <w:rFonts w:cs="Calibri"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Regionális kultúra</w:t>
            </w:r>
          </w:p>
        </w:tc>
      </w:tr>
      <w:tr w:rsidR="002924C5" w:rsidRPr="00D53010" w:rsidTr="002924C5">
        <w:trPr>
          <w:trHeight w:val="535"/>
        </w:trPr>
        <w:tc>
          <w:tcPr>
            <w:tcW w:w="9455" w:type="dxa"/>
            <w:vAlign w:val="center"/>
          </w:tcPr>
          <w:p w:rsidR="002924C5" w:rsidRPr="00D53010" w:rsidRDefault="002924C5" w:rsidP="00642CE5">
            <w:pPr>
              <w:spacing w:before="100" w:beforeAutospacing="1" w:afterAutospacing="1"/>
              <w:rPr>
                <w:rFonts w:cs="Calibri"/>
                <w:bCs/>
                <w:szCs w:val="24"/>
                <w:lang w:eastAsia="hu-HU"/>
              </w:rPr>
            </w:pPr>
            <w:r w:rsidRPr="00D53010">
              <w:rPr>
                <w:rFonts w:cs="Calibri"/>
                <w:bCs/>
                <w:szCs w:val="24"/>
                <w:lang w:eastAsia="hu-HU"/>
              </w:rPr>
              <w:t>Az irodalom határterületei</w:t>
            </w:r>
          </w:p>
        </w:tc>
      </w:tr>
    </w:tbl>
    <w:p w:rsidR="00F33B48" w:rsidRPr="00D53010" w:rsidRDefault="00F33B48" w:rsidP="00F33B48"/>
    <w:p w:rsidR="00642CE5" w:rsidRPr="00D53010" w:rsidRDefault="00642CE5" w:rsidP="00F33B48"/>
    <w:p w:rsidR="00642CE5" w:rsidRPr="00D53010" w:rsidRDefault="00642CE5" w:rsidP="00F33B48"/>
    <w:p w:rsidR="00642CE5" w:rsidRPr="00D53010" w:rsidRDefault="00642CE5" w:rsidP="00F33B48"/>
    <w:p w:rsidR="00F06B93" w:rsidRDefault="00F06B93" w:rsidP="004D7E11"/>
    <w:p w:rsidR="00A34DC7" w:rsidRDefault="00A34DC7" w:rsidP="004D7E11"/>
    <w:p w:rsidR="00A34DC7" w:rsidRDefault="00A34DC7" w:rsidP="004D7E11"/>
    <w:p w:rsidR="004D7E11" w:rsidRDefault="004D7E11" w:rsidP="00F06B93">
      <w:pPr>
        <w:jc w:val="center"/>
      </w:pPr>
      <w:r>
        <w:lastRenderedPageBreak/>
        <w:t>Magyar nyelv</w:t>
      </w:r>
    </w:p>
    <w:p w:rsidR="00F06B93" w:rsidRDefault="004D7E11" w:rsidP="00F06B93">
      <w:pPr>
        <w:jc w:val="center"/>
      </w:pPr>
      <w:r>
        <w:t xml:space="preserve"> 7. osztály</w:t>
      </w:r>
    </w:p>
    <w:p w:rsidR="00F06B93" w:rsidRDefault="00F06B93" w:rsidP="004D7E11"/>
    <w:p w:rsidR="00F06B93" w:rsidRDefault="00F06B93" w:rsidP="00F06B93">
      <w:pPr>
        <w:jc w:val="center"/>
      </w:pPr>
    </w:p>
    <w:tbl>
      <w:tblPr>
        <w:tblW w:w="949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F06B93" w:rsidTr="004D7E11">
        <w:trPr>
          <w:cantSplit/>
        </w:trPr>
        <w:tc>
          <w:tcPr>
            <w:tcW w:w="9498" w:type="dxa"/>
          </w:tcPr>
          <w:p w:rsidR="00F06B93" w:rsidRPr="004D7E11" w:rsidRDefault="00F06B93" w:rsidP="00F06B93">
            <w:pPr>
              <w:pStyle w:val="Q1"/>
              <w:widowControl/>
              <w:spacing w:before="40" w:after="40"/>
              <w:ind w:left="57" w:right="57"/>
              <w:jc w:val="left"/>
              <w:rPr>
                <w:b/>
              </w:rPr>
            </w:pPr>
            <w:r>
              <w:br/>
            </w:r>
            <w:r w:rsidRPr="004D7E11">
              <w:rPr>
                <w:b/>
              </w:rPr>
              <w:t>A mondatfajták</w:t>
            </w:r>
          </w:p>
        </w:tc>
      </w:tr>
      <w:tr w:rsidR="00F06B93" w:rsidTr="004D7E11">
        <w:trPr>
          <w:cantSplit/>
        </w:trPr>
        <w:tc>
          <w:tcPr>
            <w:tcW w:w="9498" w:type="dxa"/>
          </w:tcPr>
          <w:p w:rsidR="00F06B93" w:rsidRPr="004D7E11" w:rsidRDefault="004D7E11" w:rsidP="00F06B93">
            <w:pPr>
              <w:pStyle w:val="Q1"/>
              <w:widowControl/>
              <w:spacing w:before="40" w:after="40"/>
              <w:ind w:left="57" w:right="57"/>
              <w:rPr>
                <w:b/>
              </w:rPr>
            </w:pPr>
            <w:r w:rsidRPr="004D7E11">
              <w:rPr>
                <w:b/>
              </w:rPr>
              <w:t>A mondatrészek</w:t>
            </w:r>
          </w:p>
        </w:tc>
      </w:tr>
      <w:tr w:rsidR="004D7E11" w:rsidTr="004D7E11">
        <w:trPr>
          <w:cantSplit/>
        </w:trPr>
        <w:tc>
          <w:tcPr>
            <w:tcW w:w="9498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</w:pPr>
            <w:r>
              <w:t xml:space="preserve">Az állítmány, az alany és a tárgy </w:t>
            </w:r>
          </w:p>
        </w:tc>
      </w:tr>
      <w:tr w:rsidR="004D7E11" w:rsidTr="004D7E11">
        <w:trPr>
          <w:cantSplit/>
        </w:trPr>
        <w:tc>
          <w:tcPr>
            <w:tcW w:w="9498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</w:pPr>
            <w:r>
              <w:t>A határozók</w:t>
            </w:r>
          </w:p>
        </w:tc>
      </w:tr>
      <w:tr w:rsidR="004D7E11" w:rsidTr="004D7E11">
        <w:trPr>
          <w:cantSplit/>
        </w:trPr>
        <w:tc>
          <w:tcPr>
            <w:tcW w:w="9498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</w:pPr>
            <w:r>
              <w:t>A jelzők</w:t>
            </w:r>
          </w:p>
        </w:tc>
      </w:tr>
      <w:tr w:rsidR="004D7E11" w:rsidTr="004D7E11">
        <w:trPr>
          <w:cantSplit/>
        </w:trPr>
        <w:tc>
          <w:tcPr>
            <w:tcW w:w="9498" w:type="dxa"/>
          </w:tcPr>
          <w:p w:rsidR="004D7E11" w:rsidRDefault="004D7E11" w:rsidP="00F06B93">
            <w:pPr>
              <w:pStyle w:val="Q1"/>
              <w:widowControl/>
              <w:spacing w:before="40" w:after="40"/>
              <w:ind w:left="57" w:right="57"/>
            </w:pPr>
            <w:r w:rsidRPr="004D7E11">
              <w:rPr>
                <w:b/>
              </w:rPr>
              <w:t>A szószerkezetek</w:t>
            </w:r>
          </w:p>
        </w:tc>
      </w:tr>
      <w:tr w:rsidR="004D7E11" w:rsidTr="004D7E11">
        <w:trPr>
          <w:cantSplit/>
        </w:trPr>
        <w:tc>
          <w:tcPr>
            <w:tcW w:w="9498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</w:pPr>
            <w:r>
              <w:t>A mellérendelő szószerkezetek</w:t>
            </w:r>
          </w:p>
        </w:tc>
      </w:tr>
      <w:tr w:rsidR="004D7E11" w:rsidTr="004D7E11">
        <w:trPr>
          <w:cantSplit/>
        </w:trPr>
        <w:tc>
          <w:tcPr>
            <w:tcW w:w="9498" w:type="dxa"/>
          </w:tcPr>
          <w:p w:rsidR="004D7E11" w:rsidRPr="004D7E11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b/>
              </w:rPr>
            </w:pPr>
            <w:r w:rsidRPr="004D7E11">
              <w:rPr>
                <w:b/>
              </w:rPr>
              <w:t>Az egyszerű mondat szerkezete</w:t>
            </w:r>
          </w:p>
        </w:tc>
      </w:tr>
      <w:tr w:rsidR="004D7E11" w:rsidTr="004D7E11">
        <w:trPr>
          <w:cantSplit/>
        </w:trPr>
        <w:tc>
          <w:tcPr>
            <w:tcW w:w="9498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</w:pPr>
            <w:r>
              <w:t>Az egyszerű mondat helyesírása</w:t>
            </w:r>
          </w:p>
        </w:tc>
      </w:tr>
      <w:tr w:rsidR="004D7E11" w:rsidTr="004D7E11">
        <w:trPr>
          <w:cantSplit/>
        </w:trPr>
        <w:tc>
          <w:tcPr>
            <w:tcW w:w="9498" w:type="dxa"/>
          </w:tcPr>
          <w:p w:rsidR="004D7E11" w:rsidRDefault="004D7E11" w:rsidP="004D7E11">
            <w:pPr>
              <w:pStyle w:val="Q1"/>
              <w:spacing w:before="40" w:after="40"/>
              <w:ind w:left="57" w:right="57"/>
              <w:jc w:val="left"/>
            </w:pPr>
            <w:r>
              <w:t>Kommunikáció szóban és írásban</w:t>
            </w:r>
          </w:p>
        </w:tc>
      </w:tr>
      <w:tr w:rsidR="004D7E11" w:rsidTr="004D7E11">
        <w:trPr>
          <w:cantSplit/>
        </w:trPr>
        <w:tc>
          <w:tcPr>
            <w:tcW w:w="9498" w:type="dxa"/>
          </w:tcPr>
          <w:p w:rsidR="004D7E11" w:rsidRPr="004D7E11" w:rsidRDefault="004D7E11" w:rsidP="004D7E11">
            <w:pPr>
              <w:pStyle w:val="Q1"/>
              <w:spacing w:before="40" w:after="40"/>
              <w:ind w:left="57" w:right="57"/>
              <w:jc w:val="left"/>
            </w:pPr>
            <w:r w:rsidRPr="004D7E11">
              <w:t>A vélemény</w:t>
            </w:r>
            <w:r w:rsidRPr="004D7E11">
              <w:softHyphen/>
              <w:t>nyilvánítás és a vita</w:t>
            </w:r>
          </w:p>
        </w:tc>
      </w:tr>
      <w:tr w:rsidR="004D7E11" w:rsidTr="004D7E11">
        <w:trPr>
          <w:cantSplit/>
        </w:trPr>
        <w:tc>
          <w:tcPr>
            <w:tcW w:w="9498" w:type="dxa"/>
          </w:tcPr>
          <w:p w:rsidR="004D7E11" w:rsidRDefault="004D7E11" w:rsidP="004D7E11">
            <w:pPr>
              <w:pStyle w:val="Q1"/>
              <w:spacing w:before="40" w:after="40"/>
              <w:ind w:left="57" w:right="57"/>
              <w:jc w:val="left"/>
            </w:pPr>
            <w:r>
              <w:t>A kiselőadás</w:t>
            </w:r>
          </w:p>
        </w:tc>
      </w:tr>
    </w:tbl>
    <w:p w:rsidR="00F06B93" w:rsidRDefault="00F06B93" w:rsidP="00F06B93">
      <w:pPr>
        <w:jc w:val="center"/>
      </w:pPr>
    </w:p>
    <w:p w:rsidR="00F06B93" w:rsidRDefault="00F06B93" w:rsidP="00F06B93">
      <w:pPr>
        <w:jc w:val="center"/>
      </w:pPr>
      <w:r>
        <w:t>Magyar nyelv</w:t>
      </w:r>
    </w:p>
    <w:p w:rsidR="00642CE5" w:rsidRDefault="00F06B93" w:rsidP="00F06B93">
      <w:pPr>
        <w:jc w:val="center"/>
      </w:pPr>
      <w:r>
        <w:t>8. osztály</w:t>
      </w:r>
    </w:p>
    <w:p w:rsidR="00F06B93" w:rsidRDefault="00F06B93" w:rsidP="00F06B93">
      <w:pPr>
        <w:jc w:val="center"/>
      </w:pPr>
    </w:p>
    <w:tbl>
      <w:tblPr>
        <w:tblW w:w="949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1F60F7" w:rsidTr="001F60F7">
        <w:trPr>
          <w:cantSplit/>
        </w:trPr>
        <w:tc>
          <w:tcPr>
            <w:tcW w:w="9498" w:type="dxa"/>
          </w:tcPr>
          <w:p w:rsidR="001F60F7" w:rsidRDefault="001F60F7" w:rsidP="001F60F7">
            <w:pPr>
              <w:pStyle w:val="Q1"/>
              <w:spacing w:before="40" w:after="4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 xml:space="preserve">Az összetett mondat fogalma, fajtái </w:t>
            </w:r>
          </w:p>
          <w:p w:rsid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</w:p>
        </w:tc>
      </w:tr>
      <w:tr w:rsidR="001F60F7" w:rsidTr="001F60F7">
        <w:trPr>
          <w:cantSplit/>
        </w:trPr>
        <w:tc>
          <w:tcPr>
            <w:tcW w:w="9498" w:type="dxa"/>
          </w:tcPr>
          <w:p w:rsidR="001F60F7" w:rsidRP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 w:rsidRPr="001F60F7">
              <w:t>A mellérendelő összetett mondat</w:t>
            </w:r>
          </w:p>
        </w:tc>
      </w:tr>
      <w:tr w:rsidR="001F60F7" w:rsidTr="001F60F7">
        <w:trPr>
          <w:cantSplit/>
        </w:trPr>
        <w:tc>
          <w:tcPr>
            <w:tcW w:w="9498" w:type="dxa"/>
          </w:tcPr>
          <w:p w:rsid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>
              <w:t>A kapcsolatos mellérendelő összetett mondat</w:t>
            </w:r>
          </w:p>
        </w:tc>
      </w:tr>
      <w:tr w:rsidR="001F60F7" w:rsidTr="001F60F7">
        <w:trPr>
          <w:cantSplit/>
        </w:trPr>
        <w:tc>
          <w:tcPr>
            <w:tcW w:w="9498" w:type="dxa"/>
          </w:tcPr>
          <w:p w:rsid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>
              <w:t>Az ellentétes és a választó mellérendelő összetett mondat</w:t>
            </w:r>
          </w:p>
        </w:tc>
      </w:tr>
      <w:tr w:rsidR="001F60F7" w:rsidTr="001F60F7">
        <w:trPr>
          <w:cantSplit/>
        </w:trPr>
        <w:tc>
          <w:tcPr>
            <w:tcW w:w="9498" w:type="dxa"/>
          </w:tcPr>
          <w:p w:rsid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>
              <w:t>A következtető és a magyarázó mellérendelő összetett mondat</w:t>
            </w:r>
          </w:p>
        </w:tc>
      </w:tr>
      <w:tr w:rsidR="001F60F7" w:rsidTr="001F60F7">
        <w:trPr>
          <w:cantSplit/>
          <w:trHeight w:val="524"/>
        </w:trPr>
        <w:tc>
          <w:tcPr>
            <w:tcW w:w="9498" w:type="dxa"/>
          </w:tcPr>
          <w:p w:rsid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>
              <w:t>A mellérendelő összetett mondatokról tanultak rendszerezése</w:t>
            </w:r>
          </w:p>
        </w:tc>
      </w:tr>
      <w:tr w:rsidR="001F60F7" w:rsidTr="00A34DC7">
        <w:trPr>
          <w:cantSplit/>
          <w:trHeight w:val="670"/>
        </w:trPr>
        <w:tc>
          <w:tcPr>
            <w:tcW w:w="9498" w:type="dxa"/>
          </w:tcPr>
          <w:p w:rsidR="001F60F7" w:rsidRP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 w:rsidRPr="001F60F7">
              <w:t>Az alárendelő összetett mondat</w:t>
            </w:r>
          </w:p>
          <w:p w:rsidR="001F60F7" w:rsidRP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 w:rsidRPr="001F60F7">
              <w:t>Az állítmányi</w:t>
            </w:r>
            <w:r w:rsidR="004D7E11">
              <w:t xml:space="preserve">, </w:t>
            </w:r>
            <w:r>
              <w:t>az alanyi, a tárgyi, a jelzős, a határozós alárendelés</w:t>
            </w:r>
          </w:p>
          <w:p w:rsidR="001F60F7" w:rsidRP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</w:p>
        </w:tc>
      </w:tr>
      <w:tr w:rsidR="001F60F7" w:rsidTr="001F60F7">
        <w:trPr>
          <w:cantSplit/>
        </w:trPr>
        <w:tc>
          <w:tcPr>
            <w:tcW w:w="9498" w:type="dxa"/>
          </w:tcPr>
          <w:p w:rsidR="001F60F7" w:rsidRP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 w:rsidRPr="001F60F7">
              <w:t>A többszörösen összetett mondatok</w:t>
            </w:r>
          </w:p>
        </w:tc>
      </w:tr>
      <w:tr w:rsidR="001F60F7" w:rsidTr="001F60F7">
        <w:trPr>
          <w:cantSplit/>
        </w:trPr>
        <w:tc>
          <w:tcPr>
            <w:tcW w:w="9498" w:type="dxa"/>
          </w:tcPr>
          <w:p w:rsidR="001F60F7" w:rsidRP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 w:rsidRPr="001F60F7">
              <w:t>Az összetett mondatok helyesírása</w:t>
            </w:r>
          </w:p>
        </w:tc>
      </w:tr>
      <w:tr w:rsidR="001F60F7" w:rsidTr="001F60F7">
        <w:trPr>
          <w:cantSplit/>
        </w:trPr>
        <w:tc>
          <w:tcPr>
            <w:tcW w:w="9498" w:type="dxa"/>
          </w:tcPr>
          <w:p w:rsidR="001F60F7" w:rsidRDefault="001F60F7" w:rsidP="001F60F7">
            <w:pPr>
              <w:pStyle w:val="Q1"/>
              <w:spacing w:before="40" w:after="4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Szövegszer</w:t>
            </w:r>
            <w:r>
              <w:rPr>
                <w:b/>
              </w:rPr>
              <w:softHyphen/>
              <w:t>kesztés</w:t>
            </w:r>
          </w:p>
          <w:p w:rsid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</w:p>
        </w:tc>
      </w:tr>
      <w:tr w:rsidR="001F60F7" w:rsidTr="001F60F7">
        <w:trPr>
          <w:cantSplit/>
        </w:trPr>
        <w:tc>
          <w:tcPr>
            <w:tcW w:w="9498" w:type="dxa"/>
          </w:tcPr>
          <w:p w:rsid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>
              <w:t>Véleménynyil</w:t>
            </w:r>
            <w:r>
              <w:softHyphen/>
              <w:t xml:space="preserve">vánítás írásban: ismertető, kritika, könyvajánlás </w:t>
            </w:r>
            <w:r>
              <w:rPr>
                <w:i/>
              </w:rPr>
              <w:t xml:space="preserve"> </w:t>
            </w:r>
          </w:p>
        </w:tc>
      </w:tr>
      <w:tr w:rsidR="001F60F7" w:rsidTr="001F60F7">
        <w:trPr>
          <w:cantSplit/>
        </w:trPr>
        <w:tc>
          <w:tcPr>
            <w:tcW w:w="9498" w:type="dxa"/>
          </w:tcPr>
          <w:p w:rsidR="001F60F7" w:rsidRDefault="001F60F7" w:rsidP="001F60F7">
            <w:pPr>
              <w:pStyle w:val="Q1"/>
              <w:spacing w:before="40" w:after="40"/>
              <w:ind w:left="57" w:right="57"/>
              <w:jc w:val="left"/>
            </w:pPr>
            <w:r>
              <w:t>A mindennapi élet hivatalos iratai: az önéletrajz</w:t>
            </w:r>
          </w:p>
        </w:tc>
      </w:tr>
      <w:tr w:rsidR="001F60F7" w:rsidTr="001F60F7">
        <w:trPr>
          <w:cantSplit/>
        </w:trPr>
        <w:tc>
          <w:tcPr>
            <w:tcW w:w="9498" w:type="dxa"/>
          </w:tcPr>
          <w:p w:rsidR="00F06B93" w:rsidRDefault="00F06B93" w:rsidP="00F06B93">
            <w:pPr>
              <w:pStyle w:val="Q1"/>
              <w:spacing w:before="40" w:after="4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 xml:space="preserve">A tömegkommunikáció </w:t>
            </w:r>
          </w:p>
          <w:p w:rsidR="001F60F7" w:rsidRDefault="001F60F7" w:rsidP="00F06B93">
            <w:pPr>
              <w:pStyle w:val="Q1"/>
              <w:spacing w:before="40" w:after="40"/>
              <w:ind w:left="57" w:right="57"/>
              <w:jc w:val="left"/>
            </w:pPr>
          </w:p>
        </w:tc>
      </w:tr>
      <w:tr w:rsidR="00F06B93" w:rsidTr="001F60F7">
        <w:trPr>
          <w:cantSplit/>
        </w:trPr>
        <w:tc>
          <w:tcPr>
            <w:tcW w:w="9498" w:type="dxa"/>
          </w:tcPr>
          <w:p w:rsidR="00F06B93" w:rsidRDefault="00F06B93" w:rsidP="00F06B93">
            <w:pPr>
              <w:pStyle w:val="Q1"/>
              <w:spacing w:before="40" w:after="40"/>
              <w:ind w:left="57" w:right="57"/>
              <w:jc w:val="left"/>
            </w:pPr>
            <w:r>
              <w:lastRenderedPageBreak/>
              <w:t>A tömegkommunikáció szerepe, funkciói</w:t>
            </w:r>
          </w:p>
          <w:p w:rsidR="00F06B93" w:rsidRDefault="00F06B93" w:rsidP="00F06B93">
            <w:pPr>
              <w:pStyle w:val="Q1"/>
              <w:spacing w:before="40" w:after="40"/>
              <w:ind w:left="57" w:right="57"/>
              <w:jc w:val="left"/>
            </w:pPr>
          </w:p>
        </w:tc>
      </w:tr>
      <w:tr w:rsidR="00F06B93" w:rsidTr="001F60F7">
        <w:trPr>
          <w:cantSplit/>
        </w:trPr>
        <w:tc>
          <w:tcPr>
            <w:tcW w:w="9498" w:type="dxa"/>
          </w:tcPr>
          <w:p w:rsidR="00F06B93" w:rsidRDefault="00F06B93" w:rsidP="00F06B93">
            <w:pPr>
              <w:pStyle w:val="Q1"/>
              <w:spacing w:before="40" w:after="40"/>
              <w:ind w:left="57" w:right="57"/>
              <w:jc w:val="left"/>
            </w:pPr>
            <w:r>
              <w:t>A tömegkommunikáció tájékoztató műfajai: hír, tudósítás, riport, interjú</w:t>
            </w:r>
          </w:p>
        </w:tc>
      </w:tr>
      <w:tr w:rsidR="00F06B93" w:rsidTr="001F60F7">
        <w:trPr>
          <w:cantSplit/>
        </w:trPr>
        <w:tc>
          <w:tcPr>
            <w:tcW w:w="9498" w:type="dxa"/>
          </w:tcPr>
          <w:p w:rsidR="00F06B93" w:rsidRDefault="00F06B93" w:rsidP="00F06B93">
            <w:pPr>
              <w:pStyle w:val="Q1"/>
              <w:spacing w:before="40" w:after="40"/>
              <w:ind w:left="57" w:right="57"/>
              <w:jc w:val="left"/>
            </w:pPr>
            <w:r>
              <w:t>A tömegkommunikáció véleményközlő műfajai: cikk, kommentár</w:t>
            </w:r>
          </w:p>
        </w:tc>
      </w:tr>
      <w:tr w:rsidR="00F06B93" w:rsidTr="001F60F7">
        <w:trPr>
          <w:cantSplit/>
        </w:trPr>
        <w:tc>
          <w:tcPr>
            <w:tcW w:w="9498" w:type="dxa"/>
          </w:tcPr>
          <w:p w:rsidR="00F06B93" w:rsidRDefault="00F06B93" w:rsidP="00F06B93">
            <w:pPr>
              <w:pStyle w:val="Q1"/>
              <w:spacing w:before="40" w:after="40"/>
              <w:ind w:left="57" w:right="57"/>
              <w:jc w:val="left"/>
            </w:pPr>
            <w:r>
              <w:t>A tömegkommunikáció néhány gyakori műfaja: reklám, hirdetés, apróhirdetés</w:t>
            </w:r>
          </w:p>
        </w:tc>
      </w:tr>
      <w:tr w:rsidR="00F06B93" w:rsidTr="001F60F7">
        <w:trPr>
          <w:cantSplit/>
        </w:trPr>
        <w:tc>
          <w:tcPr>
            <w:tcW w:w="9498" w:type="dxa"/>
          </w:tcPr>
          <w:p w:rsidR="00F06B93" w:rsidRDefault="00F06B93" w:rsidP="00F06B93">
            <w:pPr>
              <w:pStyle w:val="Q1"/>
              <w:spacing w:before="40" w:after="4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A magyar nyelv élete</w:t>
            </w:r>
          </w:p>
          <w:p w:rsidR="00F06B93" w:rsidRDefault="00F06B93" w:rsidP="00F06B93">
            <w:pPr>
              <w:pStyle w:val="Q1"/>
              <w:spacing w:before="40" w:after="40"/>
              <w:ind w:left="57" w:right="57"/>
              <w:jc w:val="left"/>
            </w:pPr>
          </w:p>
        </w:tc>
      </w:tr>
      <w:tr w:rsidR="00F06B93" w:rsidTr="001F60F7">
        <w:trPr>
          <w:cantSplit/>
        </w:trPr>
        <w:tc>
          <w:tcPr>
            <w:tcW w:w="9498" w:type="dxa"/>
          </w:tcPr>
          <w:p w:rsidR="00F06B93" w:rsidRDefault="00F06B93" w:rsidP="00F06B93">
            <w:pPr>
              <w:pStyle w:val="Q1"/>
              <w:spacing w:before="40" w:after="40"/>
              <w:ind w:left="57" w:right="57"/>
              <w:jc w:val="left"/>
            </w:pPr>
            <w:r>
              <w:t>A nyelvek osztályozása nyelvtípus szerint</w:t>
            </w:r>
          </w:p>
        </w:tc>
      </w:tr>
      <w:tr w:rsidR="00F06B93" w:rsidTr="001F60F7">
        <w:trPr>
          <w:cantSplit/>
        </w:trPr>
        <w:tc>
          <w:tcPr>
            <w:tcW w:w="9498" w:type="dxa"/>
          </w:tcPr>
          <w:p w:rsidR="00F06B93" w:rsidRDefault="00F06B93" w:rsidP="00F06B93">
            <w:pPr>
              <w:pStyle w:val="Q1"/>
              <w:spacing w:before="40" w:after="40"/>
              <w:ind w:left="57" w:right="57"/>
              <w:jc w:val="left"/>
            </w:pPr>
            <w:r>
              <w:t>Nyelvünk eredete, rokonsága</w:t>
            </w:r>
          </w:p>
        </w:tc>
      </w:tr>
    </w:tbl>
    <w:p w:rsidR="001F60F7" w:rsidRPr="00D53010" w:rsidRDefault="001F60F7" w:rsidP="00F33B48"/>
    <w:p w:rsidR="001F60F7" w:rsidRDefault="001F60F7" w:rsidP="004D7E11"/>
    <w:p w:rsidR="001F60F7" w:rsidRDefault="001F60F7" w:rsidP="00642CE5">
      <w:pPr>
        <w:jc w:val="center"/>
      </w:pPr>
    </w:p>
    <w:p w:rsidR="00642CE5" w:rsidRDefault="00642CE5" w:rsidP="00642CE5">
      <w:pPr>
        <w:jc w:val="center"/>
      </w:pPr>
      <w:r w:rsidRPr="00D53010">
        <w:t>Magyar nyelv</w:t>
      </w:r>
    </w:p>
    <w:p w:rsidR="003A165E" w:rsidRPr="00D53010" w:rsidRDefault="003A165E" w:rsidP="00642CE5">
      <w:pPr>
        <w:jc w:val="center"/>
      </w:pPr>
      <w:r>
        <w:t xml:space="preserve">9. osztály </w:t>
      </w:r>
    </w:p>
    <w:p w:rsidR="00642CE5" w:rsidRPr="00D53010" w:rsidRDefault="00642CE5" w:rsidP="004D7E11"/>
    <w:p w:rsidR="00642CE5" w:rsidRPr="00D53010" w:rsidRDefault="00642CE5" w:rsidP="00642CE5">
      <w:pPr>
        <w:jc w:val="center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D34FD5" w:rsidTr="00D34FD5">
        <w:trPr>
          <w:cantSplit/>
        </w:trPr>
        <w:tc>
          <w:tcPr>
            <w:tcW w:w="9072" w:type="dxa"/>
          </w:tcPr>
          <w:p w:rsidR="00D34FD5" w:rsidRPr="003A165E" w:rsidRDefault="003A165E" w:rsidP="00D34FD5">
            <w:pPr>
              <w:pStyle w:val="Q1"/>
              <w:widowControl/>
              <w:spacing w:before="40" w:after="40"/>
              <w:ind w:left="57" w:right="57"/>
              <w:jc w:val="left"/>
              <w:rPr>
                <w:b/>
                <w:sz w:val="22"/>
              </w:rPr>
            </w:pPr>
            <w:r w:rsidRPr="003A165E">
              <w:rPr>
                <w:b/>
                <w:sz w:val="22"/>
              </w:rPr>
              <w:t>Kommunikáció, tömegkommunikáció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kommunikáció fo</w:t>
            </w:r>
            <w:r>
              <w:rPr>
                <w:sz w:val="22"/>
              </w:rPr>
              <w:softHyphen/>
              <w:t>gal</w:t>
            </w:r>
            <w:r>
              <w:rPr>
                <w:sz w:val="22"/>
              </w:rPr>
              <w:softHyphen/>
              <w:t>ma, tényezői és funkciói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személyközi kom</w:t>
            </w:r>
            <w:r>
              <w:rPr>
                <w:sz w:val="22"/>
              </w:rPr>
              <w:softHyphen/>
              <w:t>mu</w:t>
            </w:r>
            <w:r>
              <w:rPr>
                <w:sz w:val="22"/>
              </w:rPr>
              <w:softHyphen/>
              <w:t>nikáció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tömegkommunikáció fogalma és funkciói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tömegkommunikáció hatása a gondolkodásra és a nyelvre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Médiaműfajok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Pr="003A165E" w:rsidRDefault="003A165E" w:rsidP="003A165E">
            <w:pPr>
              <w:pStyle w:val="Tblzat"/>
              <w:widowControl/>
              <w:rPr>
                <w:b/>
                <w:sz w:val="22"/>
              </w:rPr>
            </w:pPr>
            <w:r w:rsidRPr="003A165E">
              <w:rPr>
                <w:b/>
                <w:sz w:val="22"/>
              </w:rPr>
              <w:t>A nyelvi szintek, a nyelv grammatikai jellemzői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gramStart"/>
            <w:r>
              <w:rPr>
                <w:sz w:val="22"/>
              </w:rPr>
              <w:t>nyelv</w:t>
            </w:r>
            <w:proofErr w:type="gramEnd"/>
            <w:r>
              <w:rPr>
                <w:sz w:val="22"/>
              </w:rPr>
              <w:t xml:space="preserve"> mint jelrendszer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Alapszófajok I. </w:t>
            </w:r>
            <w:r>
              <w:rPr>
                <w:sz w:val="22"/>
              </w:rPr>
              <w:br/>
              <w:t>Az igék, a főnevek, a melléknevek, a számnevek és a határozószók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Alapszófajok II: </w:t>
            </w:r>
            <w:r>
              <w:rPr>
                <w:sz w:val="22"/>
              </w:rPr>
              <w:br/>
              <w:t>A névmások és az igenevek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viszonyszók és a mondatszók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mondat fogalma és csoportosítása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mondatok felépítése. A szószerkezetek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Az alany és az állítmány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bővítmények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Az alárendelő összetett mondatok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mellérendelő összetett mondatok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többszörösen összetett mondatok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Pr="003A165E" w:rsidRDefault="003A165E" w:rsidP="00D34FD5">
            <w:pPr>
              <w:pStyle w:val="Q1"/>
              <w:widowControl/>
              <w:spacing w:before="40" w:after="40"/>
              <w:ind w:left="57" w:right="57"/>
              <w:jc w:val="left"/>
              <w:rPr>
                <w:b/>
                <w:sz w:val="22"/>
              </w:rPr>
            </w:pPr>
            <w:r w:rsidRPr="003A165E">
              <w:rPr>
                <w:b/>
                <w:sz w:val="22"/>
              </w:rPr>
              <w:t>A szöveg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A szöveg fogalma. </w:t>
            </w:r>
            <w:r>
              <w:rPr>
                <w:sz w:val="22"/>
              </w:rPr>
              <w:br/>
              <w:t>A szöveg egységének feltételei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szöveg szerkezete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szöveg jelentését alakító nyelvi és nem nyelvi tényezők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szöveg jelentésbeli kapcsolóelemei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A szöveg nyelvtani kapcsolóelemei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P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b/>
                <w:sz w:val="22"/>
              </w:rPr>
            </w:pPr>
            <w:r w:rsidRPr="003A165E">
              <w:rPr>
                <w:b/>
                <w:sz w:val="22"/>
              </w:rPr>
              <w:t>Helyesírási ismeretek</w:t>
            </w:r>
          </w:p>
        </w:tc>
      </w:tr>
      <w:tr w:rsidR="003A165E" w:rsidTr="00D34FD5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Helyesírásunk alapelvei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mondatok és a szövegek központozása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Egybeírás és különírás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Az idegen közszavak és tulajdonnevek írása</w:t>
            </w:r>
          </w:p>
        </w:tc>
      </w:tr>
    </w:tbl>
    <w:p w:rsidR="00642CE5" w:rsidRDefault="00642CE5" w:rsidP="00642CE5"/>
    <w:p w:rsidR="003A165E" w:rsidRDefault="003A165E" w:rsidP="00642CE5"/>
    <w:p w:rsidR="003A165E" w:rsidRDefault="003A165E" w:rsidP="00642CE5"/>
    <w:p w:rsidR="003A165E" w:rsidRDefault="003A165E" w:rsidP="00642CE5"/>
    <w:p w:rsidR="001F60F7" w:rsidRDefault="001F60F7" w:rsidP="00257B8D">
      <w:pPr>
        <w:jc w:val="center"/>
      </w:pPr>
    </w:p>
    <w:p w:rsidR="00257B8D" w:rsidRDefault="00257B8D" w:rsidP="00257B8D">
      <w:pPr>
        <w:jc w:val="center"/>
      </w:pPr>
      <w:r>
        <w:t>Magyar nyelv</w:t>
      </w:r>
    </w:p>
    <w:p w:rsidR="00257B8D" w:rsidRDefault="00257B8D" w:rsidP="00257B8D">
      <w:pPr>
        <w:jc w:val="center"/>
      </w:pPr>
      <w:r>
        <w:t>10. osztály</w:t>
      </w:r>
    </w:p>
    <w:p w:rsidR="00257B8D" w:rsidRDefault="00257B8D" w:rsidP="00642CE5"/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3A165E" w:rsidTr="003A165E">
        <w:trPr>
          <w:cantSplit/>
        </w:trPr>
        <w:tc>
          <w:tcPr>
            <w:tcW w:w="9072" w:type="dxa"/>
          </w:tcPr>
          <w:p w:rsidR="003A165E" w:rsidRP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b/>
                <w:sz w:val="22"/>
              </w:rPr>
            </w:pPr>
            <w:r w:rsidRPr="003A165E">
              <w:rPr>
                <w:b/>
                <w:sz w:val="22"/>
              </w:rPr>
              <w:t>A szöveg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szövegtípusok osztályozása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Az iskolában használt szövegtípusok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továbbtanuláshoz és a munka világában szükséges gyakorlati szövegtípusok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digitális kommunikáció szövegtípusai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Pr="003A165E" w:rsidRDefault="003A165E" w:rsidP="003A165E">
            <w:pPr>
              <w:pStyle w:val="Q1"/>
              <w:widowControl/>
              <w:spacing w:before="40" w:after="40"/>
              <w:ind w:left="57" w:right="57"/>
              <w:jc w:val="left"/>
              <w:rPr>
                <w:b/>
                <w:sz w:val="22"/>
              </w:rPr>
            </w:pPr>
            <w:r w:rsidRPr="003A165E">
              <w:rPr>
                <w:b/>
                <w:sz w:val="22"/>
              </w:rPr>
              <w:t>Stilisztika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spacing w:before="40" w:after="40"/>
              <w:ind w:left="57" w:right="57"/>
              <w:jc w:val="left"/>
            </w:pPr>
            <w:r>
              <w:t xml:space="preserve">A stílusrétegek. </w:t>
            </w:r>
            <w:r>
              <w:br/>
              <w:t>A társalgási stílus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spacing w:before="40" w:after="40"/>
              <w:ind w:left="57" w:right="57"/>
              <w:jc w:val="left"/>
            </w:pPr>
            <w:r>
              <w:t>A tudományos stílus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spacing w:before="40" w:after="40"/>
              <w:ind w:left="57" w:right="57"/>
              <w:jc w:val="left"/>
            </w:pPr>
            <w:r>
              <w:t>A publicisztikai stílus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Default="003A165E" w:rsidP="003A165E">
            <w:pPr>
              <w:pStyle w:val="Q1"/>
              <w:spacing w:before="40" w:after="40"/>
              <w:ind w:left="57" w:right="57"/>
              <w:jc w:val="left"/>
            </w:pPr>
            <w:r>
              <w:t>A hivatalos és a szónoki stílus</w:t>
            </w:r>
          </w:p>
        </w:tc>
      </w:tr>
      <w:tr w:rsidR="003A165E" w:rsidTr="003A165E">
        <w:trPr>
          <w:cantSplit/>
        </w:trPr>
        <w:tc>
          <w:tcPr>
            <w:tcW w:w="9072" w:type="dxa"/>
          </w:tcPr>
          <w:p w:rsidR="003A165E" w:rsidRPr="00257B8D" w:rsidRDefault="00257B8D" w:rsidP="003A165E">
            <w:pPr>
              <w:pStyle w:val="Q1"/>
              <w:spacing w:before="40" w:after="40"/>
              <w:ind w:left="57" w:right="57"/>
              <w:jc w:val="left"/>
              <w:rPr>
                <w:b/>
              </w:rPr>
            </w:pPr>
            <w:r w:rsidRPr="00257B8D">
              <w:rPr>
                <w:b/>
              </w:rPr>
              <w:t>Jelentéstan</w:t>
            </w:r>
          </w:p>
        </w:tc>
      </w:tr>
      <w:tr w:rsidR="00257B8D" w:rsidTr="003A165E">
        <w:trPr>
          <w:cantSplit/>
        </w:trPr>
        <w:tc>
          <w:tcPr>
            <w:tcW w:w="9072" w:type="dxa"/>
          </w:tcPr>
          <w:p w:rsidR="00257B8D" w:rsidRDefault="00257B8D" w:rsidP="00257B8D">
            <w:pPr>
              <w:pStyle w:val="Q1"/>
              <w:spacing w:before="40" w:after="40"/>
              <w:ind w:left="57" w:right="57"/>
              <w:jc w:val="left"/>
            </w:pPr>
            <w:r>
              <w:t>A hétköznapi és a művészi kommunikáció</w:t>
            </w:r>
          </w:p>
        </w:tc>
      </w:tr>
      <w:tr w:rsidR="00257B8D" w:rsidTr="003A165E">
        <w:trPr>
          <w:cantSplit/>
        </w:trPr>
        <w:tc>
          <w:tcPr>
            <w:tcW w:w="9072" w:type="dxa"/>
          </w:tcPr>
          <w:p w:rsidR="00257B8D" w:rsidRDefault="00257B8D" w:rsidP="00257B8D">
            <w:pPr>
              <w:pStyle w:val="Q1"/>
              <w:spacing w:before="40" w:after="40"/>
              <w:ind w:left="57" w:right="57"/>
              <w:jc w:val="left"/>
            </w:pPr>
            <w:r>
              <w:t>A szöveg vizuális elrendezése</w:t>
            </w:r>
          </w:p>
        </w:tc>
      </w:tr>
      <w:tr w:rsidR="00257B8D" w:rsidTr="003A165E">
        <w:trPr>
          <w:cantSplit/>
        </w:trPr>
        <w:tc>
          <w:tcPr>
            <w:tcW w:w="9072" w:type="dxa"/>
          </w:tcPr>
          <w:p w:rsidR="00257B8D" w:rsidRDefault="00257B8D" w:rsidP="00257B8D">
            <w:pPr>
              <w:pStyle w:val="Q1"/>
              <w:spacing w:before="40" w:after="40"/>
              <w:ind w:left="57" w:right="57"/>
              <w:jc w:val="left"/>
            </w:pPr>
            <w:r>
              <w:t>A zeneiség a hétköznapi és a művészi szövegekben</w:t>
            </w:r>
          </w:p>
        </w:tc>
      </w:tr>
      <w:tr w:rsidR="00257B8D" w:rsidTr="003A165E">
        <w:trPr>
          <w:cantSplit/>
        </w:trPr>
        <w:tc>
          <w:tcPr>
            <w:tcW w:w="9072" w:type="dxa"/>
          </w:tcPr>
          <w:p w:rsidR="00257B8D" w:rsidRDefault="00257B8D" w:rsidP="00257B8D">
            <w:pPr>
              <w:pStyle w:val="Q1"/>
              <w:spacing w:before="40" w:after="40"/>
              <w:ind w:left="57" w:right="57"/>
              <w:jc w:val="left"/>
            </w:pPr>
            <w:r>
              <w:t>A képszerűség eszközei a hétköznapi</w:t>
            </w:r>
            <w:r>
              <w:br/>
              <w:t>és a szépirodalmi szövegekben I.-II.</w:t>
            </w:r>
          </w:p>
        </w:tc>
      </w:tr>
      <w:tr w:rsidR="00257B8D" w:rsidTr="003A165E">
        <w:trPr>
          <w:cantSplit/>
        </w:trPr>
        <w:tc>
          <w:tcPr>
            <w:tcW w:w="9072" w:type="dxa"/>
          </w:tcPr>
          <w:p w:rsidR="00257B8D" w:rsidRDefault="00257B8D" w:rsidP="00257B8D">
            <w:pPr>
              <w:pStyle w:val="Q1"/>
              <w:spacing w:before="40" w:after="40"/>
              <w:ind w:left="57" w:right="57"/>
              <w:jc w:val="left"/>
            </w:pPr>
            <w:r>
              <w:t xml:space="preserve">A szó a hétköznapi és a szépirodalmi szövegekben I.-II. </w:t>
            </w:r>
          </w:p>
        </w:tc>
      </w:tr>
      <w:tr w:rsidR="00257B8D" w:rsidTr="003A165E">
        <w:trPr>
          <w:cantSplit/>
        </w:trPr>
        <w:tc>
          <w:tcPr>
            <w:tcW w:w="9072" w:type="dxa"/>
          </w:tcPr>
          <w:p w:rsidR="00257B8D" w:rsidRDefault="00257B8D" w:rsidP="00257B8D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t>Az alakzatok a hétköznapi nyelvben és a szépirodalomban</w:t>
            </w:r>
          </w:p>
        </w:tc>
      </w:tr>
      <w:tr w:rsidR="00257B8D" w:rsidTr="003A165E">
        <w:trPr>
          <w:cantSplit/>
        </w:trPr>
        <w:tc>
          <w:tcPr>
            <w:tcW w:w="9072" w:type="dxa"/>
          </w:tcPr>
          <w:p w:rsidR="00257B8D" w:rsidRDefault="00257B8D" w:rsidP="00257B8D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Szövegszerkesztés a szépirodalmi szövegekben</w:t>
            </w:r>
          </w:p>
        </w:tc>
      </w:tr>
      <w:tr w:rsidR="00257B8D" w:rsidTr="003A165E">
        <w:trPr>
          <w:cantSplit/>
        </w:trPr>
        <w:tc>
          <w:tcPr>
            <w:tcW w:w="9072" w:type="dxa"/>
          </w:tcPr>
          <w:p w:rsidR="00257B8D" w:rsidRDefault="00257B8D" w:rsidP="00257B8D">
            <w:pPr>
              <w:pStyle w:val="Q1"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magyar nyelv egynyelvű szótárai</w:t>
            </w:r>
          </w:p>
        </w:tc>
      </w:tr>
    </w:tbl>
    <w:p w:rsidR="003A165E" w:rsidRDefault="003A165E" w:rsidP="00642CE5"/>
    <w:p w:rsidR="004D7E11" w:rsidRDefault="004D7E11" w:rsidP="00642CE5"/>
    <w:p w:rsidR="004D7E11" w:rsidRDefault="004D7E11" w:rsidP="00642CE5"/>
    <w:p w:rsidR="004D7E11" w:rsidRDefault="004D7E11" w:rsidP="00642CE5"/>
    <w:p w:rsidR="004D7E11" w:rsidRDefault="004D7E11" w:rsidP="00642CE5"/>
    <w:p w:rsidR="004D7E11" w:rsidRDefault="004D7E11" w:rsidP="006B18BD">
      <w:pPr>
        <w:jc w:val="center"/>
      </w:pPr>
    </w:p>
    <w:p w:rsidR="004D7E11" w:rsidRDefault="004D7E11" w:rsidP="006B18BD">
      <w:pPr>
        <w:jc w:val="center"/>
      </w:pPr>
    </w:p>
    <w:p w:rsidR="004D7E11" w:rsidRDefault="004D7E11" w:rsidP="006B18BD">
      <w:pPr>
        <w:jc w:val="center"/>
      </w:pPr>
    </w:p>
    <w:p w:rsidR="006B18BD" w:rsidRDefault="006B18BD" w:rsidP="006B18BD">
      <w:pPr>
        <w:jc w:val="center"/>
      </w:pPr>
      <w:r>
        <w:lastRenderedPageBreak/>
        <w:t>Magyar nyelv</w:t>
      </w:r>
    </w:p>
    <w:p w:rsidR="00257B8D" w:rsidRDefault="006B18BD" w:rsidP="006B18BD">
      <w:pPr>
        <w:jc w:val="center"/>
      </w:pPr>
      <w:r>
        <w:t>11. osztály</w:t>
      </w:r>
    </w:p>
    <w:tbl>
      <w:tblPr>
        <w:tblpPr w:leftFromText="141" w:rightFromText="141" w:vertAnchor="text" w:horzAnchor="margin" w:tblpY="117"/>
        <w:tblW w:w="9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0"/>
      </w:tblGrid>
      <w:tr w:rsidR="006B18BD" w:rsidRPr="00257B8D" w:rsidTr="006B18BD">
        <w:trPr>
          <w:cantSplit/>
        </w:trPr>
        <w:tc>
          <w:tcPr>
            <w:tcW w:w="9080" w:type="dxa"/>
          </w:tcPr>
          <w:p w:rsidR="006B18BD" w:rsidRPr="00257B8D" w:rsidRDefault="006B18BD" w:rsidP="006B18BD">
            <w:pPr>
              <w:pStyle w:val="Q1"/>
              <w:spacing w:before="40" w:after="40"/>
              <w:ind w:left="57" w:right="57"/>
              <w:jc w:val="left"/>
              <w:rPr>
                <w:b/>
                <w:sz w:val="22"/>
              </w:rPr>
            </w:pPr>
            <w:r w:rsidRPr="00257B8D">
              <w:rPr>
                <w:b/>
                <w:sz w:val="22"/>
              </w:rPr>
              <w:t>Anyanyelvünk rétegződése</w:t>
            </w:r>
          </w:p>
        </w:tc>
      </w:tr>
      <w:tr w:rsidR="006B18BD" w:rsidTr="006B18BD">
        <w:trPr>
          <w:cantSplit/>
          <w:trHeight w:val="369"/>
        </w:trPr>
        <w:tc>
          <w:tcPr>
            <w:tcW w:w="9080" w:type="dxa"/>
          </w:tcPr>
          <w:p w:rsidR="006B18BD" w:rsidRDefault="006B18BD" w:rsidP="006B18BD">
            <w:pPr>
              <w:pStyle w:val="Q1"/>
              <w:spacing w:before="40" w:after="40"/>
              <w:ind w:left="57" w:right="57"/>
              <w:jc w:val="left"/>
              <w:rPr>
                <w:sz w:val="22"/>
              </w:rPr>
            </w:pPr>
          </w:p>
          <w:p w:rsidR="006B18BD" w:rsidRDefault="006B18BD" w:rsidP="006B18BD">
            <w:pPr>
              <w:pStyle w:val="Q1"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köznyelvi változatok, a csoportnyelvek és a rétegnyelvek</w:t>
            </w:r>
          </w:p>
        </w:tc>
      </w:tr>
      <w:tr w:rsidR="006B18BD" w:rsidTr="006B18BD">
        <w:trPr>
          <w:cantSplit/>
          <w:trHeight w:val="449"/>
        </w:trPr>
        <w:tc>
          <w:tcPr>
            <w:tcW w:w="9080" w:type="dxa"/>
          </w:tcPr>
          <w:p w:rsidR="006B18BD" w:rsidRDefault="006B18BD" w:rsidP="006B18BD">
            <w:pPr>
              <w:pStyle w:val="Q1"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br/>
              <w:t>A nyelvjárások. A nyelvi norma és a nyelvi standard</w:t>
            </w:r>
          </w:p>
        </w:tc>
      </w:tr>
      <w:tr w:rsidR="006B18BD" w:rsidTr="006B18BD">
        <w:trPr>
          <w:cantSplit/>
        </w:trPr>
        <w:tc>
          <w:tcPr>
            <w:tcW w:w="9080" w:type="dxa"/>
          </w:tcPr>
          <w:p w:rsidR="006B18BD" w:rsidRDefault="006B18BD" w:rsidP="006B18BD">
            <w:pPr>
              <w:pStyle w:val="Q1"/>
              <w:spacing w:before="40" w:after="40"/>
              <w:ind w:left="57" w:right="57"/>
              <w:jc w:val="left"/>
            </w:pPr>
            <w:r>
              <w:rPr>
                <w:sz w:val="22"/>
              </w:rPr>
              <w:t>Nyelvünk helyzete a határon túl</w:t>
            </w:r>
          </w:p>
        </w:tc>
      </w:tr>
      <w:tr w:rsidR="006B18BD" w:rsidTr="006B18BD">
        <w:trPr>
          <w:cantSplit/>
        </w:trPr>
        <w:tc>
          <w:tcPr>
            <w:tcW w:w="9080" w:type="dxa"/>
          </w:tcPr>
          <w:p w:rsidR="006B18BD" w:rsidRDefault="006B18BD" w:rsidP="006B18BD">
            <w:pPr>
              <w:pStyle w:val="Q1"/>
              <w:spacing w:before="40" w:after="40"/>
              <w:ind w:left="57" w:right="57"/>
              <w:jc w:val="left"/>
            </w:pPr>
            <w:r>
              <w:rPr>
                <w:sz w:val="22"/>
              </w:rPr>
              <w:br/>
              <w:t>Nemzetiségi nyelvhasználat Magyar</w:t>
            </w:r>
            <w:r>
              <w:rPr>
                <w:sz w:val="22"/>
              </w:rPr>
              <w:softHyphen/>
              <w:t>országon</w:t>
            </w:r>
          </w:p>
        </w:tc>
      </w:tr>
      <w:tr w:rsidR="006B18BD" w:rsidTr="006B18BD">
        <w:trPr>
          <w:cantSplit/>
        </w:trPr>
        <w:tc>
          <w:tcPr>
            <w:tcW w:w="9080" w:type="dxa"/>
          </w:tcPr>
          <w:p w:rsidR="006B18BD" w:rsidRDefault="006B18BD" w:rsidP="006B18BD">
            <w:pPr>
              <w:pStyle w:val="Q1"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Nyelvpolitika, nyelvi tervezés, nyelvművelés</w:t>
            </w:r>
          </w:p>
        </w:tc>
      </w:tr>
      <w:tr w:rsidR="006B18BD" w:rsidTr="006B18BD">
        <w:trPr>
          <w:cantSplit/>
        </w:trPr>
        <w:tc>
          <w:tcPr>
            <w:tcW w:w="9080" w:type="dxa"/>
          </w:tcPr>
          <w:p w:rsidR="006B18BD" w:rsidRPr="00257B8D" w:rsidRDefault="006B18BD" w:rsidP="006B18BD">
            <w:pPr>
              <w:pStyle w:val="Q1"/>
              <w:spacing w:before="40" w:after="40"/>
              <w:ind w:left="57" w:right="57"/>
              <w:jc w:val="left"/>
              <w:rPr>
                <w:b/>
                <w:sz w:val="22"/>
              </w:rPr>
            </w:pPr>
            <w:r w:rsidRPr="00257B8D">
              <w:rPr>
                <w:b/>
                <w:sz w:val="22"/>
              </w:rPr>
              <w:t>Retorika</w:t>
            </w:r>
          </w:p>
        </w:tc>
      </w:tr>
      <w:tr w:rsidR="006B18BD" w:rsidTr="006B18BD">
        <w:trPr>
          <w:cantSplit/>
        </w:trPr>
        <w:tc>
          <w:tcPr>
            <w:tcW w:w="9080" w:type="dxa"/>
          </w:tcPr>
          <w:p w:rsidR="006B18BD" w:rsidRDefault="006B18BD" w:rsidP="006B18BD">
            <w:pPr>
              <w:pStyle w:val="Q1"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Az érv felépítése. Az érvtípusok</w:t>
            </w:r>
          </w:p>
        </w:tc>
      </w:tr>
      <w:tr w:rsidR="006B18BD" w:rsidTr="006B18BD">
        <w:trPr>
          <w:cantSplit/>
        </w:trPr>
        <w:tc>
          <w:tcPr>
            <w:tcW w:w="9080" w:type="dxa"/>
          </w:tcPr>
          <w:p w:rsidR="006B18BD" w:rsidRDefault="006B18BD" w:rsidP="006B18BD">
            <w:pPr>
              <w:pStyle w:val="Q1"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retorikai szövegek kifejezőeszközei</w:t>
            </w:r>
          </w:p>
        </w:tc>
      </w:tr>
      <w:tr w:rsidR="006B18BD" w:rsidTr="006B18BD">
        <w:trPr>
          <w:cantSplit/>
        </w:trPr>
        <w:tc>
          <w:tcPr>
            <w:tcW w:w="9080" w:type="dxa"/>
          </w:tcPr>
          <w:p w:rsidR="006B18BD" w:rsidRDefault="006B18BD" w:rsidP="006B18BD">
            <w:pPr>
              <w:pStyle w:val="Q1"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kulturált vita szabályai</w:t>
            </w:r>
          </w:p>
        </w:tc>
      </w:tr>
      <w:tr w:rsidR="006B18BD" w:rsidTr="006B18BD">
        <w:trPr>
          <w:cantSplit/>
        </w:trPr>
        <w:tc>
          <w:tcPr>
            <w:tcW w:w="9080" w:type="dxa"/>
          </w:tcPr>
          <w:p w:rsidR="006B18BD" w:rsidRDefault="006B18BD" w:rsidP="006B18BD">
            <w:pPr>
              <w:pStyle w:val="Q1"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befolyásolás módszerei</w:t>
            </w:r>
          </w:p>
        </w:tc>
      </w:tr>
    </w:tbl>
    <w:p w:rsidR="00257B8D" w:rsidRDefault="00257B8D" w:rsidP="00642CE5"/>
    <w:p w:rsidR="001F60F7" w:rsidRDefault="001F60F7" w:rsidP="001F60F7">
      <w:pPr>
        <w:jc w:val="center"/>
      </w:pPr>
      <w:r>
        <w:t>Magyar nyelv</w:t>
      </w:r>
    </w:p>
    <w:p w:rsidR="00257B8D" w:rsidRDefault="004D7E11" w:rsidP="004D7E11">
      <w:pPr>
        <w:jc w:val="center"/>
      </w:pPr>
      <w:r>
        <w:t>12. osztály</w:t>
      </w:r>
    </w:p>
    <w:tbl>
      <w:tblPr>
        <w:tblpPr w:leftFromText="141" w:rightFromText="141" w:vertAnchor="text" w:horzAnchor="margin" w:tblpY="736"/>
        <w:tblOverlap w:val="never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4D7E11" w:rsidTr="004D7E11">
        <w:trPr>
          <w:cantSplit/>
        </w:trPr>
        <w:tc>
          <w:tcPr>
            <w:tcW w:w="9214" w:type="dxa"/>
          </w:tcPr>
          <w:p w:rsidR="004D7E11" w:rsidRPr="006B18BD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 w:rsidRPr="006B18BD">
              <w:rPr>
                <w:b/>
                <w:sz w:val="22"/>
              </w:rPr>
              <w:t xml:space="preserve">Nyelv </w:t>
            </w:r>
            <w:r>
              <w:rPr>
                <w:b/>
                <w:sz w:val="22"/>
              </w:rPr>
              <w:t>és gondolkodás</w:t>
            </w:r>
          </w:p>
          <w:p w:rsidR="004D7E11" w:rsidRDefault="004D7E11" w:rsidP="004D7E11">
            <w:pPr>
              <w:rPr>
                <w:sz w:val="22"/>
              </w:rPr>
            </w:pP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right="57"/>
              <w:jc w:val="left"/>
              <w:rPr>
                <w:sz w:val="22"/>
              </w:rPr>
            </w:pPr>
            <w:r w:rsidRPr="006B18BD">
              <w:rPr>
                <w:b/>
                <w:sz w:val="22"/>
              </w:rPr>
              <w:t xml:space="preserve"> </w:t>
            </w:r>
            <w:r w:rsidRPr="006B18BD">
              <w:rPr>
                <w:sz w:val="22"/>
              </w:rPr>
              <w:t>A nyelv és a beszéd</w:t>
            </w:r>
          </w:p>
        </w:tc>
      </w:tr>
      <w:tr w:rsidR="004D7E11" w:rsidRPr="006B18BD" w:rsidTr="004D7E11">
        <w:trPr>
          <w:cantSplit/>
        </w:trPr>
        <w:tc>
          <w:tcPr>
            <w:tcW w:w="9214" w:type="dxa"/>
          </w:tcPr>
          <w:tbl>
            <w:tblPr>
              <w:tblW w:w="9214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214"/>
            </w:tblGrid>
            <w:tr w:rsidR="004D7E11" w:rsidTr="004D7E11">
              <w:trPr>
                <w:cantSplit/>
              </w:trPr>
              <w:tc>
                <w:tcPr>
                  <w:tcW w:w="9214" w:type="dxa"/>
                </w:tcPr>
                <w:p w:rsidR="004D7E11" w:rsidRDefault="004D7E11" w:rsidP="004D7E11">
                  <w:pPr>
                    <w:pStyle w:val="Q1"/>
                    <w:framePr w:hSpace="141" w:wrap="around" w:vAnchor="text" w:hAnchor="margin" w:y="736"/>
                    <w:widowControl/>
                    <w:spacing w:before="40" w:after="40"/>
                    <w:ind w:left="57" w:right="57"/>
                    <w:suppressOverlap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 </w:t>
                  </w:r>
                  <w:proofErr w:type="gramStart"/>
                  <w:r>
                    <w:rPr>
                      <w:sz w:val="22"/>
                    </w:rPr>
                    <w:t>nyelv</w:t>
                  </w:r>
                  <w:proofErr w:type="gramEnd"/>
                  <w:r>
                    <w:rPr>
                      <w:sz w:val="22"/>
                    </w:rPr>
                    <w:t xml:space="preserve"> mint változó rendszer</w:t>
                  </w:r>
                </w:p>
              </w:tc>
            </w:tr>
            <w:tr w:rsidR="004D7E11" w:rsidTr="004D7E11">
              <w:trPr>
                <w:cantSplit/>
              </w:trPr>
              <w:tc>
                <w:tcPr>
                  <w:tcW w:w="9214" w:type="dxa"/>
                </w:tcPr>
                <w:p w:rsidR="004D7E11" w:rsidRDefault="004D7E11" w:rsidP="004D7E11">
                  <w:pPr>
                    <w:pStyle w:val="Q1"/>
                    <w:framePr w:hSpace="141" w:wrap="around" w:vAnchor="text" w:hAnchor="margin" w:y="736"/>
                    <w:widowControl/>
                    <w:spacing w:before="40" w:after="40"/>
                    <w:ind w:left="57" w:right="57"/>
                    <w:suppressOverlap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Nyelv és gondolkodás, nyelv és megismerés viszonya</w:t>
                  </w:r>
                </w:p>
              </w:tc>
            </w:tr>
            <w:tr w:rsidR="004D7E11" w:rsidTr="004D7E11">
              <w:trPr>
                <w:cantSplit/>
              </w:trPr>
              <w:tc>
                <w:tcPr>
                  <w:tcW w:w="9214" w:type="dxa"/>
                </w:tcPr>
                <w:p w:rsidR="004D7E11" w:rsidRDefault="004D7E11" w:rsidP="004D7E11">
                  <w:pPr>
                    <w:pStyle w:val="Q1"/>
                    <w:framePr w:hSpace="141" w:wrap="around" w:vAnchor="text" w:hAnchor="margin" w:y="736"/>
                    <w:widowControl/>
                    <w:spacing w:before="40" w:after="40"/>
                    <w:ind w:left="57" w:right="57"/>
                    <w:suppressOverlap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 </w:t>
                  </w:r>
                  <w:proofErr w:type="gramStart"/>
                  <w:r>
                    <w:rPr>
                      <w:sz w:val="22"/>
                    </w:rPr>
                    <w:t>beszéd</w:t>
                  </w:r>
                  <w:proofErr w:type="gramEnd"/>
                  <w:r>
                    <w:rPr>
                      <w:sz w:val="22"/>
                    </w:rPr>
                    <w:t xml:space="preserve"> mint cselekvés</w:t>
                  </w:r>
                </w:p>
              </w:tc>
            </w:tr>
            <w:tr w:rsidR="004D7E11" w:rsidTr="004D7E11">
              <w:trPr>
                <w:cantSplit/>
              </w:trPr>
              <w:tc>
                <w:tcPr>
                  <w:tcW w:w="9214" w:type="dxa"/>
                </w:tcPr>
                <w:p w:rsidR="004D7E11" w:rsidRDefault="004D7E11" w:rsidP="004D7E11">
                  <w:pPr>
                    <w:pStyle w:val="Q1"/>
                    <w:framePr w:hSpace="141" w:wrap="around" w:vAnchor="text" w:hAnchor="margin" w:y="736"/>
                    <w:widowControl/>
                    <w:spacing w:before="40" w:after="40"/>
                    <w:ind w:left="57" w:right="57"/>
                    <w:suppressOverlap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 nyelvcsaládok és a nyelvtípusok</w:t>
                  </w:r>
                </w:p>
              </w:tc>
            </w:tr>
            <w:tr w:rsidR="004D7E11" w:rsidRPr="006B18BD" w:rsidTr="004D7E11">
              <w:trPr>
                <w:cantSplit/>
              </w:trPr>
              <w:tc>
                <w:tcPr>
                  <w:tcW w:w="9214" w:type="dxa"/>
                </w:tcPr>
                <w:p w:rsidR="004D7E11" w:rsidRPr="006B18BD" w:rsidRDefault="004D7E11" w:rsidP="004D7E11">
                  <w:pPr>
                    <w:pStyle w:val="Q1"/>
                    <w:framePr w:hSpace="141" w:wrap="around" w:vAnchor="text" w:hAnchor="margin" w:y="736"/>
                    <w:widowControl/>
                    <w:spacing w:before="40" w:after="40"/>
                    <w:ind w:left="57" w:right="57"/>
                    <w:suppressOverlap/>
                    <w:jc w:val="left"/>
                    <w:rPr>
                      <w:b/>
                      <w:sz w:val="22"/>
                    </w:rPr>
                  </w:pPr>
                  <w:r w:rsidRPr="006B18BD">
                    <w:rPr>
                      <w:b/>
                      <w:sz w:val="22"/>
                    </w:rPr>
                    <w:t>Nyelv és társadalom</w:t>
                  </w:r>
                </w:p>
              </w:tc>
            </w:tr>
            <w:tr w:rsidR="004D7E11" w:rsidTr="004D7E11">
              <w:trPr>
                <w:cantSplit/>
                <w:trHeight w:val="387"/>
              </w:trPr>
              <w:tc>
                <w:tcPr>
                  <w:tcW w:w="9214" w:type="dxa"/>
                </w:tcPr>
                <w:p w:rsidR="004D7E11" w:rsidRDefault="004D7E11" w:rsidP="004D7E11">
                  <w:pPr>
                    <w:pStyle w:val="Q1"/>
                    <w:framePr w:hSpace="141" w:wrap="around" w:vAnchor="text" w:hAnchor="margin" w:y="736"/>
                    <w:widowControl/>
                    <w:spacing w:before="40" w:after="40"/>
                    <w:ind w:left="57" w:right="57"/>
                    <w:suppressOverlap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Nyelvünk helyzete a határon túl</w:t>
                  </w:r>
                </w:p>
                <w:p w:rsidR="004D7E11" w:rsidRDefault="004D7E11" w:rsidP="004D7E11">
                  <w:pPr>
                    <w:pStyle w:val="Q1"/>
                    <w:framePr w:hSpace="141" w:wrap="around" w:vAnchor="text" w:hAnchor="margin" w:y="736"/>
                    <w:widowControl/>
                    <w:spacing w:before="40" w:after="40"/>
                    <w:ind w:left="57" w:right="57"/>
                    <w:suppressOverlap/>
                    <w:jc w:val="left"/>
                    <w:rPr>
                      <w:sz w:val="22"/>
                    </w:rPr>
                  </w:pPr>
                </w:p>
              </w:tc>
            </w:tr>
          </w:tbl>
          <w:p w:rsidR="004D7E11" w:rsidRPr="006B18BD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b/>
                <w:sz w:val="22"/>
              </w:rPr>
            </w:pP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Nemzetiségi nyelvhasználat Magyarországon</w:t>
            </w: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Nyelvpolitika, nyelvi tervezés, nyelvművelés</w:t>
            </w: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Pr="006B18BD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b/>
                <w:sz w:val="22"/>
              </w:rPr>
            </w:pPr>
            <w:r w:rsidRPr="006B18BD">
              <w:rPr>
                <w:b/>
                <w:sz w:val="22"/>
              </w:rPr>
              <w:t>Nyelvtörténet</w:t>
            </w: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magyar nyelv rokonsága</w:t>
            </w: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nyelvrokonság bizonyítékai</w:t>
            </w: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magyar nyelvtörténet korszakai</w:t>
            </w: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kézírásos és a nyomtatott nyelvemlékek</w:t>
            </w: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rPr>
                <w:sz w:val="22"/>
              </w:rPr>
              <w:t>A szókészlet változásai a magyar nyelv történetében</w:t>
            </w: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t>A nyelvújítás</w:t>
            </w:r>
          </w:p>
        </w:tc>
      </w:tr>
      <w:tr w:rsidR="004D7E11" w:rsidTr="004D7E11">
        <w:trPr>
          <w:cantSplit/>
        </w:trPr>
        <w:tc>
          <w:tcPr>
            <w:tcW w:w="9214" w:type="dxa"/>
          </w:tcPr>
          <w:p w:rsidR="004D7E11" w:rsidRDefault="004D7E11" w:rsidP="004D7E11">
            <w:pPr>
              <w:pStyle w:val="Q1"/>
              <w:widowControl/>
              <w:spacing w:before="40" w:after="40"/>
              <w:ind w:left="57" w:right="57"/>
              <w:jc w:val="left"/>
              <w:rPr>
                <w:sz w:val="22"/>
              </w:rPr>
            </w:pPr>
            <w:r>
              <w:t>Az információs társadalom hatása a nyelvhasználatra</w:t>
            </w:r>
          </w:p>
        </w:tc>
      </w:tr>
    </w:tbl>
    <w:p w:rsidR="00257B8D" w:rsidRDefault="00257B8D" w:rsidP="00642CE5"/>
    <w:sectPr w:rsidR="00257B8D" w:rsidSect="0016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3B48"/>
    <w:rsid w:val="00167703"/>
    <w:rsid w:val="001F60F7"/>
    <w:rsid w:val="00257B8D"/>
    <w:rsid w:val="002924C5"/>
    <w:rsid w:val="002A240C"/>
    <w:rsid w:val="00325796"/>
    <w:rsid w:val="003A165E"/>
    <w:rsid w:val="00431BB4"/>
    <w:rsid w:val="004426D4"/>
    <w:rsid w:val="004A3CCE"/>
    <w:rsid w:val="004D7E11"/>
    <w:rsid w:val="00506C37"/>
    <w:rsid w:val="006100B0"/>
    <w:rsid w:val="00642CE5"/>
    <w:rsid w:val="006B18BD"/>
    <w:rsid w:val="00951711"/>
    <w:rsid w:val="00A34DC7"/>
    <w:rsid w:val="00D34FD5"/>
    <w:rsid w:val="00D53010"/>
    <w:rsid w:val="00EC46B4"/>
    <w:rsid w:val="00F06B93"/>
    <w:rsid w:val="00F33B48"/>
    <w:rsid w:val="00F6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1">
    <w:name w:val="Q1"/>
    <w:basedOn w:val="Norml"/>
    <w:rsid w:val="00D34FD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hu-HU"/>
    </w:rPr>
  </w:style>
  <w:style w:type="paragraph" w:customStyle="1" w:styleId="Tblzat">
    <w:name w:val="Táblázat"/>
    <w:basedOn w:val="Q1"/>
    <w:rsid w:val="003A165E"/>
    <w:pPr>
      <w:spacing w:before="40" w:after="4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814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2</cp:revision>
  <dcterms:created xsi:type="dcterms:W3CDTF">2017-04-10T14:29:00Z</dcterms:created>
  <dcterms:modified xsi:type="dcterms:W3CDTF">2017-04-10T14:29:00Z</dcterms:modified>
</cp:coreProperties>
</file>